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264BEC">
        <w:rPr>
          <w:rFonts w:ascii="Tahoma" w:hAnsi="Tahoma" w:cs="Tahoma"/>
          <w:b/>
        </w:rPr>
        <w:t>топливных насосов высокого давления для техники МТЗ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75143D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264BEC">
              <w:rPr>
                <w:rFonts w:cs="Tahoma"/>
                <w:b/>
                <w:color w:val="000000" w:themeColor="text1"/>
                <w:szCs w:val="20"/>
              </w:rPr>
              <w:t>20-78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264BEC">
              <w:rPr>
                <w:rFonts w:cs="Tahoma"/>
                <w:b/>
              </w:rPr>
              <w:t>топливных насосов высокого давления для техники МТЗ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264BEC" w:rsidP="00264BE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107 000,00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89 166,67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75143D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75143D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4BE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314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43D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87A04E-7E35-49C4-A3DD-08DBB7C5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42</cp:revision>
  <cp:lastPrinted>2020-02-28T08:44:00Z</cp:lastPrinted>
  <dcterms:created xsi:type="dcterms:W3CDTF">2015-08-25T14:13:00Z</dcterms:created>
  <dcterms:modified xsi:type="dcterms:W3CDTF">2020-02-28T08:44:00Z</dcterms:modified>
</cp:coreProperties>
</file>