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DA" w:rsidRPr="002F33CD" w:rsidRDefault="001F2BDA" w:rsidP="001F2BDA">
      <w:pPr>
        <w:spacing w:after="120"/>
        <w:jc w:val="right"/>
        <w:rPr>
          <w:i/>
        </w:rPr>
      </w:pPr>
    </w:p>
    <w:p w:rsidR="002B0444" w:rsidRPr="00673F56" w:rsidRDefault="002B0444" w:rsidP="001F2BDA">
      <w:pPr>
        <w:pStyle w:val="a6"/>
        <w:spacing w:after="120"/>
        <w:ind w:firstLine="0"/>
        <w:jc w:val="right"/>
        <w:rPr>
          <w:i/>
        </w:rPr>
      </w:pPr>
      <w:r w:rsidRPr="00673F56">
        <w:rPr>
          <w:i/>
        </w:rPr>
        <w:t xml:space="preserve">Приложение №3 к Документации по </w:t>
      </w:r>
      <w:r w:rsidRPr="0072419E">
        <w:rPr>
          <w:i/>
        </w:rPr>
        <w:t>открытому запросу предложений</w:t>
      </w:r>
    </w:p>
    <w:p w:rsidR="002B0444" w:rsidRDefault="002B0444" w:rsidP="002B0444">
      <w:pPr>
        <w:pStyle w:val="a6"/>
        <w:spacing w:after="0" w:line="276" w:lineRule="auto"/>
        <w:ind w:firstLine="0"/>
        <w:jc w:val="right"/>
      </w:pPr>
    </w:p>
    <w:p w:rsidR="002B0444" w:rsidRDefault="002B0444" w:rsidP="002B0444">
      <w:pPr>
        <w:pStyle w:val="a6"/>
        <w:spacing w:after="0" w:line="276" w:lineRule="auto"/>
        <w:ind w:firstLine="0"/>
        <w:jc w:val="right"/>
      </w:pPr>
    </w:p>
    <w:p w:rsidR="002B0444" w:rsidRDefault="002B0444" w:rsidP="002B0444">
      <w:pPr>
        <w:pStyle w:val="a6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и оценки заявок Участников закупки</w:t>
      </w:r>
    </w:p>
    <w:p w:rsidR="002B0444" w:rsidRDefault="002B0444" w:rsidP="002B0444">
      <w:pPr>
        <w:pStyle w:val="a6"/>
        <w:spacing w:after="0" w:line="276" w:lineRule="auto"/>
        <w:ind w:firstLine="0"/>
        <w:jc w:val="right"/>
      </w:pPr>
    </w:p>
    <w:p w:rsidR="002B0444" w:rsidRDefault="002B0444" w:rsidP="002B0444">
      <w:pPr>
        <w:pStyle w:val="a6"/>
        <w:spacing w:after="0" w:line="276" w:lineRule="auto"/>
        <w:ind w:firstLine="0"/>
        <w:jc w:val="right"/>
      </w:pPr>
    </w:p>
    <w:p w:rsidR="002B0444" w:rsidRDefault="002B0444" w:rsidP="002B0444">
      <w:pPr>
        <w:pStyle w:val="a6"/>
        <w:spacing w:after="0" w:line="276" w:lineRule="auto"/>
        <w:ind w:firstLine="0"/>
        <w:jc w:val="center"/>
        <w:rPr>
          <w:b/>
        </w:rPr>
      </w:pPr>
      <w:r>
        <w:rPr>
          <w:b/>
          <w:lang w:val="en-US"/>
        </w:rPr>
        <w:t xml:space="preserve">I. </w:t>
      </w:r>
      <w:r w:rsidRPr="00F475DA">
        <w:rPr>
          <w:b/>
        </w:rPr>
        <w:t>Критерии отбора</w:t>
      </w:r>
    </w:p>
    <w:p w:rsidR="002B0444" w:rsidRPr="00F475DA" w:rsidRDefault="002B0444" w:rsidP="002B0444">
      <w:pPr>
        <w:pStyle w:val="a6"/>
        <w:spacing w:after="0" w:line="276" w:lineRule="auto"/>
        <w:ind w:firstLine="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008"/>
        <w:gridCol w:w="5953"/>
      </w:tblGrid>
      <w:tr w:rsidR="002B0444" w:rsidTr="002B0444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444" w:rsidRPr="002C3877" w:rsidRDefault="002B0444" w:rsidP="002B0444">
            <w:pPr>
              <w:jc w:val="center"/>
              <w:rPr>
                <w:szCs w:val="20"/>
              </w:rPr>
            </w:pPr>
          </w:p>
          <w:p w:rsidR="002B0444" w:rsidRPr="002C3877" w:rsidRDefault="002B0444" w:rsidP="002B0444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 xml:space="preserve">№ </w:t>
            </w:r>
            <w:proofErr w:type="gramStart"/>
            <w:r w:rsidRPr="002C3877">
              <w:rPr>
                <w:szCs w:val="20"/>
              </w:rPr>
              <w:t>п</w:t>
            </w:r>
            <w:proofErr w:type="gramEnd"/>
            <w:r w:rsidRPr="002C3877">
              <w:rPr>
                <w:szCs w:val="20"/>
              </w:rPr>
              <w:t>/п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444" w:rsidRPr="002C3877" w:rsidRDefault="002B0444" w:rsidP="002B0444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444" w:rsidRPr="00DF4687" w:rsidRDefault="002B0444" w:rsidP="002B0444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5C17BE" w:rsidRDefault="002B0444" w:rsidP="002B0444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8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5C17BE" w:rsidRDefault="002B0444" w:rsidP="002B0444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:rsidR="002B0444" w:rsidRPr="00E7633F" w:rsidRDefault="002B0444" w:rsidP="002B0444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установленный  закупочной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="001A2666">
              <w:rPr>
                <w:rFonts w:cs="Tahoma"/>
              </w:rPr>
              <w:t>,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:rsidR="002B0444" w:rsidRPr="00E7633F" w:rsidRDefault="002B0444" w:rsidP="002B0444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:rsidR="002B0444" w:rsidRPr="00E7633F" w:rsidRDefault="002B0444" w:rsidP="002B0444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:rsidR="002B0444" w:rsidRPr="00E7633F" w:rsidRDefault="002B0444" w:rsidP="002B0444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Tr="002B0444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</w:t>
            </w:r>
          </w:p>
        </w:tc>
        <w:tc>
          <w:tcPr>
            <w:tcW w:w="8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before="120"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Квалификация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</w:tr>
      <w:tr w:rsidR="002B0444" w:rsidTr="002B0444">
        <w:trPr>
          <w:trHeight w:val="13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1.2.1.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Наличие необходимых для исполнения договора материально-технических ресурсов</w:t>
            </w:r>
            <w:r>
              <w:rPr>
                <w:rStyle w:val="a9"/>
                <w:rFonts w:cs="Tahoma"/>
                <w:szCs w:val="20"/>
              </w:rPr>
              <w:footnoteReference w:id="1"/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69459D" w:rsidRDefault="002B0444" w:rsidP="002B0444">
            <w:pPr>
              <w:pStyle w:val="a6"/>
              <w:numPr>
                <w:ilvl w:val="0"/>
                <w:numId w:val="3"/>
              </w:numPr>
              <w:rPr>
                <w:rFonts w:cs="Tahoma"/>
                <w:szCs w:val="20"/>
              </w:rPr>
            </w:pPr>
            <w:r w:rsidRPr="00A048AA">
              <w:rPr>
                <w:rFonts w:cs="Tahoma"/>
                <w:szCs w:val="20"/>
              </w:rPr>
              <w:t>Справка о материально-технических ресурсах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Tr="002B0444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1.2.2.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Квалификация и численность работников, достаточная для исполнения договора</w:t>
            </w:r>
            <w:proofErr w:type="gramStart"/>
            <w:r w:rsidRPr="00DF4687">
              <w:rPr>
                <w:rFonts w:cs="Tahoma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69459D" w:rsidRDefault="002B0444" w:rsidP="002B0444">
            <w:pPr>
              <w:pStyle w:val="a6"/>
              <w:numPr>
                <w:ilvl w:val="0"/>
                <w:numId w:val="2"/>
              </w:numPr>
              <w:rPr>
                <w:rFonts w:cs="Tahoma"/>
                <w:szCs w:val="20"/>
              </w:rPr>
            </w:pPr>
            <w:r w:rsidRPr="0069459D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>,</w:t>
            </w:r>
          </w:p>
          <w:p w:rsidR="002B0444" w:rsidRPr="004C0DE4" w:rsidRDefault="002B0444" w:rsidP="002B0444">
            <w:pPr>
              <w:pStyle w:val="a6"/>
              <w:numPr>
                <w:ilvl w:val="0"/>
                <w:numId w:val="2"/>
              </w:numPr>
              <w:jc w:val="left"/>
              <w:rPr>
                <w:rFonts w:cs="Tahoma"/>
                <w:szCs w:val="20"/>
              </w:rPr>
            </w:pPr>
            <w:r w:rsidRPr="004C0DE4">
              <w:rPr>
                <w:rFonts w:cs="Tahoma"/>
                <w:szCs w:val="20"/>
              </w:rPr>
              <w:t>Сертификаты, допуски специалистов</w:t>
            </w:r>
            <w:r>
              <w:rPr>
                <w:rFonts w:cs="Tahoma"/>
                <w:szCs w:val="20"/>
              </w:rPr>
              <w:t xml:space="preserve"> в соответствии с требованиями Технического задания (</w:t>
            </w:r>
            <w:r w:rsidRPr="003B513E">
              <w:rPr>
                <w:rFonts w:cs="Tahoma"/>
                <w:szCs w:val="20"/>
                <w:highlight w:val="cyan"/>
              </w:rPr>
              <w:t>Приложение №1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к </w:t>
            </w:r>
            <w:r w:rsidRPr="00E7633F">
              <w:rPr>
                <w:rFonts w:cs="Tahoma"/>
                <w:szCs w:val="20"/>
              </w:rPr>
              <w:t>закупочной документации</w:t>
            </w:r>
            <w:r>
              <w:rPr>
                <w:rFonts w:cs="Tahoma"/>
                <w:szCs w:val="20"/>
              </w:rPr>
              <w:t>)</w:t>
            </w:r>
            <w:r w:rsidR="001A2666">
              <w:rPr>
                <w:rFonts w:cs="Tahoma"/>
                <w:szCs w:val="20"/>
              </w:rPr>
              <w:t>,</w:t>
            </w:r>
            <w:r>
              <w:rPr>
                <w:rFonts w:cs="Tahoma"/>
                <w:szCs w:val="20"/>
              </w:rPr>
              <w:t xml:space="preserve"> необходимые</w:t>
            </w:r>
            <w:r w:rsidRPr="004C0DE4">
              <w:rPr>
                <w:rFonts w:cs="Tahoma"/>
                <w:szCs w:val="20"/>
              </w:rPr>
              <w:t xml:space="preserve"> для исполнения договора</w:t>
            </w:r>
            <w:r>
              <w:rPr>
                <w:rFonts w:cs="Tahoma"/>
                <w:szCs w:val="20"/>
              </w:rPr>
              <w:t xml:space="preserve"> </w:t>
            </w:r>
            <w:r w:rsidRPr="004C0DE4">
              <w:rPr>
                <w:rFonts w:cs="Tahoma"/>
                <w:szCs w:val="20"/>
              </w:rPr>
              <w:t>(копи</w:t>
            </w:r>
            <w:r>
              <w:rPr>
                <w:rFonts w:cs="Tahoma"/>
                <w:szCs w:val="20"/>
              </w:rPr>
              <w:t>и, заверенные</w:t>
            </w:r>
            <w:r w:rsidRPr="004C0DE4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У</w:t>
            </w:r>
            <w:r w:rsidRPr="004C0DE4">
              <w:rPr>
                <w:rFonts w:cs="Tahoma"/>
                <w:szCs w:val="20"/>
              </w:rPr>
              <w:t>частником)</w:t>
            </w:r>
          </w:p>
          <w:p w:rsidR="002B0444" w:rsidRPr="004C0DE4" w:rsidRDefault="002B0444" w:rsidP="002B0444">
            <w:pPr>
              <w:pStyle w:val="a6"/>
              <w:numPr>
                <w:ilvl w:val="0"/>
                <w:numId w:val="2"/>
              </w:numPr>
              <w:jc w:val="left"/>
              <w:rPr>
                <w:rFonts w:cs="Tahoma"/>
                <w:szCs w:val="20"/>
              </w:rPr>
            </w:pPr>
            <w:r w:rsidRPr="004C0DE4">
              <w:rPr>
                <w:rFonts w:cs="Tahoma"/>
                <w:szCs w:val="20"/>
              </w:rPr>
              <w:t xml:space="preserve">Сведения о среднесписочной численности работников за предшествующий календарный год по форме, представляемой в налоговый орган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4C0DE4">
              <w:rPr>
                <w:rFonts w:cs="Tahoma"/>
                <w:szCs w:val="20"/>
              </w:rPr>
              <w:t>частником)</w:t>
            </w:r>
          </w:p>
        </w:tc>
      </w:tr>
      <w:tr w:rsidR="002B0444" w:rsidTr="002B0444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1.2.3.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Наличие необходимых </w:t>
            </w:r>
            <w:r>
              <w:rPr>
                <w:rFonts w:cs="Tahoma"/>
                <w:szCs w:val="20"/>
              </w:rPr>
              <w:t xml:space="preserve">для </w:t>
            </w:r>
            <w:r>
              <w:rPr>
                <w:rFonts w:cs="Tahoma"/>
                <w:szCs w:val="20"/>
              </w:rPr>
              <w:lastRenderedPageBreak/>
              <w:t xml:space="preserve">исполнения договора </w:t>
            </w:r>
            <w:r w:rsidRPr="00E7633F">
              <w:rPr>
                <w:rFonts w:cs="Tahoma"/>
                <w:szCs w:val="20"/>
              </w:rPr>
              <w:t>лицензий, сертификатов, членства в СРО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З</w:t>
            </w:r>
            <w:r w:rsidRPr="00E7633F">
              <w:rPr>
                <w:rFonts w:cs="Tahoma"/>
                <w:szCs w:val="20"/>
              </w:rPr>
              <w:t xml:space="preserve">аверенные участником копии действующих лицензий </w:t>
            </w:r>
            <w:r w:rsidRPr="00E7633F">
              <w:rPr>
                <w:rFonts w:cs="Tahoma"/>
                <w:szCs w:val="20"/>
              </w:rPr>
              <w:lastRenderedPageBreak/>
              <w:t>(свидетельств СРО) на виды деятельности, связанные с выполнением договора</w:t>
            </w:r>
            <w:r w:rsidRPr="00E7633F">
              <w:rPr>
                <w:rFonts w:cs="Tahoma"/>
                <w:szCs w:val="20"/>
                <w:vertAlign w:val="superscript"/>
              </w:rPr>
              <w:footnoteReference w:id="2"/>
            </w:r>
            <w:r w:rsidRPr="00E7633F">
              <w:rPr>
                <w:rFonts w:cs="Tahoma"/>
                <w:szCs w:val="20"/>
              </w:rPr>
              <w:t>, вместе с приложениями, описывающими конкретные виды деятельности, на которые у участника есть лицензия (свидетельство СРО)</w:t>
            </w:r>
            <w:r>
              <w:rPr>
                <w:rFonts w:cs="Tahoma"/>
                <w:szCs w:val="20"/>
              </w:rPr>
              <w:t xml:space="preserve"> в соответствии с требованиями Технического задания (</w:t>
            </w:r>
            <w:r w:rsidRPr="003B513E">
              <w:rPr>
                <w:rFonts w:cs="Tahoma"/>
                <w:szCs w:val="20"/>
                <w:highlight w:val="cyan"/>
              </w:rPr>
              <w:t>Приложение №1</w:t>
            </w:r>
            <w:r>
              <w:rPr>
                <w:rFonts w:cs="Tahoma"/>
                <w:szCs w:val="20"/>
              </w:rPr>
              <w:t xml:space="preserve"> к</w:t>
            </w:r>
            <w:r>
              <w:t xml:space="preserve"> </w:t>
            </w:r>
            <w:r w:rsidRPr="009D18CC">
              <w:rPr>
                <w:rFonts w:cs="Tahoma"/>
                <w:szCs w:val="20"/>
              </w:rPr>
              <w:t>закупочной документации</w:t>
            </w:r>
            <w:r>
              <w:rPr>
                <w:rFonts w:cs="Tahoma"/>
                <w:szCs w:val="20"/>
              </w:rPr>
              <w:t>)</w:t>
            </w:r>
          </w:p>
        </w:tc>
      </w:tr>
      <w:tr w:rsidR="002B0444" w:rsidTr="002B0444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lastRenderedPageBreak/>
              <w:t>1.3.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Соответствие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 статусу «производителя» или «поср</w:t>
            </w:r>
            <w:r>
              <w:rPr>
                <w:rFonts w:cs="Tahoma"/>
                <w:szCs w:val="20"/>
              </w:rPr>
              <w:t>едника</w:t>
            </w:r>
            <w:r w:rsidRPr="00E7633F">
              <w:rPr>
                <w:rFonts w:cs="Tahoma"/>
                <w:szCs w:val="20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Заверенные участником копии документов, подтверждающих соответствие участника статусу «производителя»</w:t>
            </w:r>
            <w:r>
              <w:rPr>
                <w:rFonts w:cs="Tahoma"/>
                <w:szCs w:val="20"/>
              </w:rPr>
              <w:t xml:space="preserve"> (</w:t>
            </w:r>
            <w:r w:rsidRPr="00C75BBA">
              <w:rPr>
                <w:rFonts w:cs="Tahoma"/>
                <w:szCs w:val="20"/>
              </w:rPr>
              <w:t>сертификаты соответствия на продукцию, технические условия на продукцию, паспорта на аналогичную продукцию</w:t>
            </w:r>
            <w:r>
              <w:rPr>
                <w:rFonts w:cs="Tahoma"/>
                <w:szCs w:val="20"/>
              </w:rPr>
              <w:t>)</w:t>
            </w:r>
            <w:r w:rsidRPr="00E7633F">
              <w:rPr>
                <w:rFonts w:cs="Tahoma"/>
                <w:szCs w:val="20"/>
              </w:rPr>
              <w:t xml:space="preserve"> или «посредника» на поставку МТР </w:t>
            </w:r>
            <w:r>
              <w:rPr>
                <w:rFonts w:cs="Tahoma"/>
                <w:szCs w:val="20"/>
              </w:rPr>
              <w:t xml:space="preserve">(в соответствии с требованиями, установленными </w:t>
            </w:r>
            <w:r w:rsidRPr="00E7633F">
              <w:rPr>
                <w:rFonts w:cs="Tahoma"/>
                <w:szCs w:val="20"/>
              </w:rPr>
              <w:t>закупочной документаци</w:t>
            </w:r>
            <w:r>
              <w:rPr>
                <w:rFonts w:cs="Tahoma"/>
                <w:szCs w:val="20"/>
              </w:rPr>
              <w:t>ей</w:t>
            </w:r>
            <w:r w:rsidRPr="00E7633F">
              <w:rPr>
                <w:rFonts w:cs="Tahoma"/>
                <w:szCs w:val="20"/>
              </w:rPr>
              <w:t>)</w:t>
            </w:r>
          </w:p>
        </w:tc>
      </w:tr>
      <w:tr w:rsidR="002B0444" w:rsidTr="002B0444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1.4.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Соответствие У</w:t>
            </w:r>
            <w:r w:rsidRPr="00E7633F">
              <w:rPr>
                <w:rFonts w:cs="Tahoma"/>
                <w:szCs w:val="20"/>
              </w:rPr>
              <w:t xml:space="preserve">частника (подрядчика) требованиям ПБ и </w:t>
            </w:r>
            <w:proofErr w:type="gramStart"/>
            <w:r w:rsidRPr="00E7633F">
              <w:rPr>
                <w:rFonts w:cs="Tahoma"/>
                <w:szCs w:val="20"/>
              </w:rPr>
              <w:t>ОТ</w:t>
            </w:r>
            <w:proofErr w:type="gramEnd"/>
            <w:r w:rsidRPr="00E7633F">
              <w:rPr>
                <w:rFonts w:cs="Tahoma"/>
                <w:szCs w:val="20"/>
                <w:vertAlign w:val="superscript"/>
              </w:rPr>
              <w:footnoteReference w:id="3"/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Исполнение Участником требований к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ПБ и </w:t>
            </w:r>
            <w:proofErr w:type="gramStart"/>
            <w:r>
              <w:rPr>
                <w:rFonts w:cs="Tahoma"/>
                <w:szCs w:val="20"/>
              </w:rPr>
              <w:t>ОТ</w:t>
            </w:r>
            <w:proofErr w:type="gramEnd"/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2B0444" w:rsidTr="002B0444">
        <w:trPr>
          <w:trHeight w:val="2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1.5.</w:t>
            </w:r>
            <w:r w:rsidRPr="00785607">
              <w:rPr>
                <w:rFonts w:cs="Tahoma"/>
                <w:szCs w:val="20"/>
                <w:vertAlign w:val="superscript"/>
              </w:rPr>
              <w:t>4.1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</w:t>
            </w:r>
            <w:r w:rsidRPr="0011754F">
              <w:rPr>
                <w:rFonts w:cs="Tahoma"/>
                <w:szCs w:val="20"/>
              </w:rPr>
              <w:t xml:space="preserve">ринадлежность </w:t>
            </w:r>
            <w:r>
              <w:rPr>
                <w:rFonts w:cs="Tahoma"/>
                <w:szCs w:val="20"/>
              </w:rPr>
              <w:t xml:space="preserve">Участника / субподрядных организаций (соисполнителей), привлекаемых Участником закупки </w:t>
            </w:r>
            <w:r w:rsidRPr="001F496C">
              <w:rPr>
                <w:rFonts w:cs="Tahoma"/>
                <w:szCs w:val="20"/>
              </w:rPr>
              <w:t>к исполнению договора</w:t>
            </w:r>
            <w:r>
              <w:rPr>
                <w:rFonts w:cs="Tahoma"/>
                <w:szCs w:val="20"/>
              </w:rPr>
              <w:t>,</w:t>
            </w:r>
            <w:r w:rsidRPr="0011754F">
              <w:rPr>
                <w:rFonts w:cs="Tahoma"/>
                <w:szCs w:val="20"/>
              </w:rPr>
              <w:t xml:space="preserve"> к субъектам малого и среднего предпринимательства.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Наличие в составе заявки </w:t>
            </w:r>
            <w:r w:rsidRPr="001F496C">
              <w:rPr>
                <w:rFonts w:cs="Tahoma"/>
                <w:szCs w:val="20"/>
              </w:rPr>
              <w:t>подписанной Декларации о соответствии статусу субъекта малого и среднего предпринимательства</w:t>
            </w:r>
            <w:r w:rsidRPr="0076571A">
              <w:rPr>
                <w:rFonts w:cs="Tahoma"/>
                <w:szCs w:val="20"/>
              </w:rPr>
              <w:t xml:space="preserve"> </w:t>
            </w:r>
            <w:r w:rsidRPr="000B6448">
              <w:rPr>
                <w:rFonts w:cs="Tahoma"/>
                <w:szCs w:val="20"/>
              </w:rPr>
              <w:t xml:space="preserve">в отношении </w:t>
            </w:r>
            <w:r>
              <w:rPr>
                <w:rFonts w:cs="Tahoma"/>
                <w:szCs w:val="20"/>
              </w:rPr>
              <w:t>Участника закупки /</w:t>
            </w:r>
            <w:r w:rsidRPr="000B6448">
              <w:rPr>
                <w:rFonts w:cs="Tahoma"/>
                <w:szCs w:val="20"/>
              </w:rPr>
              <w:t xml:space="preserve"> каждого субподрядчика (соисполнителя), являющегося субъектом малого и среднего предпринимательства</w:t>
            </w:r>
            <w:r>
              <w:rPr>
                <w:rFonts w:cs="Tahoma"/>
                <w:szCs w:val="20"/>
              </w:rPr>
              <w:t xml:space="preserve">, привлекаемого Участником закупки </w:t>
            </w:r>
            <w:r w:rsidRPr="001F496C">
              <w:rPr>
                <w:rFonts w:cs="Tahoma"/>
                <w:szCs w:val="20"/>
              </w:rPr>
              <w:t>к исполнению договора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1.6.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Соответствие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 установленным корпоративным требованиям безопасности</w:t>
            </w:r>
            <w:r w:rsidRPr="00E7633F" w:rsidDel="00370FF0">
              <w:rPr>
                <w:rFonts w:cs="Tahoma"/>
                <w:szCs w:val="20"/>
              </w:rPr>
              <w:t xml:space="preserve"> 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6.1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391A86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обязательств по договорам поставки  анал</w:t>
            </w:r>
            <w:r>
              <w:rPr>
                <w:rFonts w:cs="Tahoma"/>
                <w:szCs w:val="20"/>
              </w:rPr>
              <w:t xml:space="preserve">огичных продукции, </w:t>
            </w:r>
            <w:r w:rsidR="001A2666">
              <w:rPr>
                <w:rFonts w:cs="Tahoma"/>
                <w:szCs w:val="20"/>
              </w:rPr>
              <w:t xml:space="preserve">по договорам оказания </w:t>
            </w:r>
            <w:r>
              <w:rPr>
                <w:rFonts w:cs="Tahoma"/>
                <w:szCs w:val="20"/>
              </w:rPr>
              <w:t xml:space="preserve">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 xml:space="preserve">, вступивших в законную силу) </w:t>
            </w:r>
            <w:r w:rsidR="001A2666">
              <w:rPr>
                <w:rFonts w:cs="Tahoma"/>
                <w:szCs w:val="20"/>
              </w:rPr>
              <w:t>с</w:t>
            </w:r>
            <w:r w:rsidRPr="00391A86">
              <w:rPr>
                <w:rFonts w:cs="Tahoma"/>
                <w:szCs w:val="20"/>
              </w:rPr>
              <w:t xml:space="preserve"> </w:t>
            </w:r>
            <w:r w:rsidR="00BF19FD">
              <w:rPr>
                <w:rFonts w:cs="Tahoma"/>
                <w:szCs w:val="20"/>
              </w:rPr>
              <w:t>ЗАО «</w:t>
            </w:r>
            <w:proofErr w:type="spellStart"/>
            <w:r w:rsidR="00BF19FD">
              <w:rPr>
                <w:rFonts w:cs="Tahoma"/>
                <w:szCs w:val="20"/>
              </w:rPr>
              <w:t>ВяткаТорф</w:t>
            </w:r>
            <w:proofErr w:type="spellEnd"/>
            <w:r w:rsidR="00BF19FD"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>,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bookmarkStart w:id="0" w:name="_Toc30761629"/>
            <w:bookmarkStart w:id="1" w:name="_Toc31402034"/>
            <w:bookmarkStart w:id="2" w:name="_Toc96234765"/>
            <w:bookmarkStart w:id="3" w:name="_Ref136396769"/>
            <w:bookmarkStart w:id="4" w:name="_Ref136945041"/>
            <w:bookmarkStart w:id="5" w:name="_Ref136946901"/>
            <w:bookmarkStart w:id="6" w:name="_Toc136984990"/>
            <w:bookmarkStart w:id="7" w:name="_Ref137213130"/>
            <w:bookmarkStart w:id="8" w:name="_Toc137248534"/>
            <w:r w:rsidRPr="001A7333">
              <w:rPr>
                <w:rFonts w:cs="Tahoma"/>
              </w:rPr>
              <w:t>Справка об участии в судебных разбирательствах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6.2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391A86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="001A2666">
              <w:rPr>
                <w:rFonts w:cs="Tahoma"/>
                <w:szCs w:val="20"/>
              </w:rPr>
              <w:t>,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</w:t>
            </w:r>
            <w:r w:rsidRPr="00391A86">
              <w:rPr>
                <w:rFonts w:cs="Tahoma"/>
                <w:szCs w:val="20"/>
              </w:rPr>
              <w:lastRenderedPageBreak/>
              <w:t>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>
              <w:rPr>
                <w:rFonts w:cs="Tahoma"/>
                <w:szCs w:val="20"/>
              </w:rPr>
              <w:t>6.3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391A86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 xml:space="preserve">, 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6.4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6.5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7.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852644" w:rsidRDefault="002B0444" w:rsidP="002B0444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8.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852644" w:rsidRDefault="002B0444" w:rsidP="002B0444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lastRenderedPageBreak/>
              <w:t>закупке.</w:t>
            </w:r>
          </w:p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>
              <w:rPr>
                <w:rFonts w:cs="Tahoma"/>
                <w:szCs w:val="20"/>
              </w:rPr>
              <w:t>9.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73794A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:rsidR="002B0444" w:rsidRPr="00882B77" w:rsidRDefault="002B0444" w:rsidP="002B0444">
            <w:pPr>
              <w:spacing w:after="240"/>
              <w:rPr>
                <w:rFonts w:cs="Tahoma"/>
                <w:szCs w:val="20"/>
              </w:rPr>
            </w:pPr>
            <w:proofErr w:type="gramStart"/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</w:t>
            </w:r>
            <w:r w:rsidR="001A2666"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</w:t>
            </w:r>
            <w:r w:rsidR="001A2666">
              <w:rPr>
                <w:rFonts w:cs="Tahoma"/>
                <w:szCs w:val="20"/>
              </w:rPr>
              <w:t>,</w:t>
            </w:r>
            <w:r w:rsidRPr="00882B77">
              <w:rPr>
                <w:rFonts w:cs="Tahoma"/>
                <w:szCs w:val="20"/>
              </w:rPr>
              <w:t xml:space="preserve"> утвержденной ФНС России</w:t>
            </w:r>
            <w:r w:rsidR="001A2666">
              <w:rPr>
                <w:rFonts w:cs="Tahoma"/>
                <w:szCs w:val="20"/>
              </w:rPr>
              <w:t>,</w:t>
            </w:r>
            <w:r w:rsidRPr="00882B77">
              <w:rPr>
                <w:rFonts w:cs="Tahoma"/>
                <w:szCs w:val="20"/>
              </w:rPr>
              <w:t xml:space="preserve"> в действующей редакции и полученн</w:t>
            </w:r>
            <w:r w:rsidR="001A2666"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не ранее чем за один месяц  до дня размещения в ЕИС извещения о проведении закупки</w:t>
            </w:r>
            <w:proofErr w:type="gramEnd"/>
            <w:r w:rsidRPr="00882B77">
              <w:rPr>
                <w:rFonts w:cs="Tahoma"/>
                <w:szCs w:val="20"/>
              </w:rPr>
              <w:t xml:space="preserve"> или нотариально </w:t>
            </w:r>
            <w:proofErr w:type="gramStart"/>
            <w:r w:rsidRPr="00882B77">
              <w:rPr>
                <w:rFonts w:cs="Tahoma"/>
                <w:szCs w:val="20"/>
              </w:rPr>
              <w:t>засвидетельствованную</w:t>
            </w:r>
            <w:proofErr w:type="gramEnd"/>
            <w:r w:rsidRPr="00882B77">
              <w:rPr>
                <w:rFonts w:cs="Tahoma"/>
                <w:szCs w:val="20"/>
              </w:rPr>
              <w:t xml:space="preserve">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:rsidR="002B0444" w:rsidRPr="0073794A" w:rsidRDefault="002B0444" w:rsidP="002B0444">
            <w:pPr>
              <w:spacing w:after="240"/>
              <w:rPr>
                <w:rFonts w:cs="Tahoma"/>
                <w:szCs w:val="20"/>
              </w:rPr>
            </w:pPr>
            <w:proofErr w:type="gramStart"/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</w:t>
            </w:r>
            <w:r w:rsidR="001A2666"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</w:t>
            </w:r>
            <w:r w:rsidR="001A2666">
              <w:rPr>
                <w:rFonts w:cs="Tahoma"/>
                <w:szCs w:val="20"/>
              </w:rPr>
              <w:t>,</w:t>
            </w:r>
            <w:r w:rsidRPr="00882B77">
              <w:rPr>
                <w:rFonts w:cs="Tahoma"/>
                <w:szCs w:val="20"/>
              </w:rPr>
              <w:t xml:space="preserve"> утвержденной ФНС России</w:t>
            </w:r>
            <w:r w:rsidR="001A2666">
              <w:rPr>
                <w:rFonts w:cs="Tahoma"/>
                <w:szCs w:val="20"/>
              </w:rPr>
              <w:t>,</w:t>
            </w:r>
            <w:r w:rsidRPr="00882B77">
              <w:rPr>
                <w:rFonts w:cs="Tahoma"/>
                <w:szCs w:val="20"/>
              </w:rPr>
              <w:t xml:space="preserve"> в </w:t>
            </w:r>
            <w:r w:rsidR="001A2666">
              <w:rPr>
                <w:rFonts w:cs="Tahoma"/>
                <w:szCs w:val="20"/>
              </w:rPr>
              <w:t>действующей редакции и полученная</w:t>
            </w:r>
            <w:r w:rsidRPr="00882B77">
              <w:rPr>
                <w:rFonts w:cs="Tahoma"/>
                <w:szCs w:val="20"/>
              </w:rPr>
              <w:t xml:space="preserve"> не ранее чем за один месяц  до дня размещения в ЕИС извещения о проведении закупки или нотариально засвидетельствованн</w:t>
            </w:r>
            <w:r w:rsidR="001A2666">
              <w:rPr>
                <w:rFonts w:cs="Tahoma"/>
                <w:szCs w:val="20"/>
              </w:rPr>
              <w:t>ая</w:t>
            </w:r>
            <w:r w:rsidRPr="00882B77">
              <w:rPr>
                <w:rFonts w:cs="Tahoma"/>
                <w:szCs w:val="20"/>
              </w:rPr>
              <w:t xml:space="preserve">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  <w:proofErr w:type="gramEnd"/>
          </w:p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>
              <w:rPr>
                <w:rFonts w:cs="Tahoma"/>
                <w:szCs w:val="20"/>
              </w:rPr>
              <w:t>10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 и  ФЗ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RPr="00F04308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b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2.</w:t>
            </w:r>
            <w:r w:rsidRPr="00E7633F">
              <w:rPr>
                <w:rFonts w:cs="Tahoma"/>
                <w:szCs w:val="20"/>
                <w:vertAlign w:val="superscript"/>
              </w:rPr>
              <w:footnoteReference w:id="4"/>
            </w:r>
          </w:p>
        </w:tc>
        <w:tc>
          <w:tcPr>
            <w:tcW w:w="8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b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2B0444" w:rsidTr="002B0444">
        <w:trPr>
          <w:trHeight w:val="175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2.1.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Соответствие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 требованиям к коллективному участнику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представленные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частником закупки в соответствии с требованиями раздела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8D5F5D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«</w:t>
            </w:r>
            <w:r w:rsidRPr="008D5F5D">
              <w:rPr>
                <w:rFonts w:cs="Tahoma"/>
                <w:szCs w:val="20"/>
              </w:rPr>
              <w:t>Участие коллективных участников</w:t>
            </w:r>
            <w:r>
              <w:rPr>
                <w:rFonts w:cs="Tahoma"/>
                <w:szCs w:val="20"/>
              </w:rPr>
              <w:t>»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2.2.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Соответствие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 требованиям к генеральному исполнителю (подрядчику)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представленные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частником закупки в соответствии с требованиями раздела </w:t>
            </w:r>
            <w:r>
              <w:rPr>
                <w:rFonts w:cs="Tahoma"/>
                <w:szCs w:val="20"/>
              </w:rPr>
              <w:t>закупочной документации «</w:t>
            </w:r>
            <w:r w:rsidRPr="008D5F5D">
              <w:rPr>
                <w:rFonts w:cs="Tahoma"/>
                <w:szCs w:val="20"/>
              </w:rPr>
              <w:t xml:space="preserve">Участие генеральных </w:t>
            </w:r>
            <w:r w:rsidRPr="008D5F5D">
              <w:rPr>
                <w:rFonts w:cs="Tahoma"/>
                <w:szCs w:val="20"/>
              </w:rPr>
              <w:lastRenderedPageBreak/>
              <w:t>исполнителей/подрядчиков</w:t>
            </w:r>
            <w:r w:rsidRPr="00E7633F">
              <w:rPr>
                <w:rFonts w:cs="Tahoma"/>
                <w:szCs w:val="20"/>
              </w:rPr>
              <w:t xml:space="preserve">» </w:t>
            </w:r>
          </w:p>
        </w:tc>
      </w:tr>
      <w:tr w:rsidR="002B0444" w:rsidTr="002B0444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2.3.</w:t>
            </w:r>
            <w:r>
              <w:rPr>
                <w:rFonts w:cs="Tahoma"/>
                <w:szCs w:val="20"/>
                <w:vertAlign w:val="superscript"/>
              </w:rPr>
              <w:t>5</w:t>
            </w:r>
            <w:r w:rsidRPr="00345E77">
              <w:rPr>
                <w:rFonts w:cs="Tahoma"/>
                <w:szCs w:val="20"/>
                <w:vertAlign w:val="superscript"/>
              </w:rPr>
              <w:t>.</w:t>
            </w:r>
            <w:r>
              <w:rPr>
                <w:rFonts w:cs="Tahoma"/>
                <w:szCs w:val="20"/>
                <w:vertAlign w:val="superscript"/>
              </w:rPr>
              <w:t>1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Исполнение Участником требований по привлечению</w:t>
            </w:r>
            <w:r w:rsidRPr="0076571A">
              <w:rPr>
                <w:rFonts w:cs="Tahoma"/>
                <w:szCs w:val="20"/>
              </w:rPr>
              <w:t xml:space="preserve"> субподрядчиков (соисполнителей) из числа субъектов малого и среднего предпринимательства</w:t>
            </w:r>
            <w:r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Наличие и соответствие требованиям закупочной документации </w:t>
            </w:r>
            <w:r w:rsidRPr="0076571A">
              <w:rPr>
                <w:rFonts w:cs="Tahoma"/>
                <w:szCs w:val="20"/>
              </w:rPr>
              <w:t>план</w:t>
            </w:r>
            <w:r>
              <w:rPr>
                <w:rFonts w:cs="Tahoma"/>
                <w:szCs w:val="20"/>
              </w:rPr>
              <w:t>а</w:t>
            </w:r>
            <w:r w:rsidRPr="0076571A">
              <w:rPr>
                <w:rFonts w:cs="Tahoma"/>
                <w:szCs w:val="20"/>
              </w:rPr>
              <w:t xml:space="preserve"> привлечения субподрядчиков (соисполнителей) из числа субъектов малого и среднего предпринимательства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D75F5C" w:rsidRDefault="002B0444" w:rsidP="002B0444">
            <w:pPr>
              <w:rPr>
                <w:rFonts w:cs="Tahoma"/>
                <w:b/>
                <w:szCs w:val="20"/>
              </w:rPr>
            </w:pPr>
            <w:r w:rsidRPr="00D75F5C">
              <w:rPr>
                <w:rFonts w:cs="Tahoma"/>
                <w:b/>
                <w:szCs w:val="20"/>
              </w:rPr>
              <w:t>3.</w:t>
            </w:r>
          </w:p>
        </w:tc>
        <w:tc>
          <w:tcPr>
            <w:tcW w:w="8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3.1.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3.2.</w:t>
            </w:r>
          </w:p>
        </w:tc>
        <w:tc>
          <w:tcPr>
            <w:tcW w:w="8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1A2666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числе </w:t>
            </w:r>
            <w:r w:rsidRPr="00DF0322">
              <w:rPr>
                <w:rFonts w:cs="Tahoma"/>
                <w:szCs w:val="20"/>
                <w:highlight w:val="cyan"/>
              </w:rPr>
              <w:t>Приложен</w:t>
            </w:r>
            <w:r w:rsidR="001A2666">
              <w:rPr>
                <w:rFonts w:cs="Tahoma"/>
                <w:szCs w:val="20"/>
                <w:highlight w:val="cyan"/>
              </w:rPr>
              <w:t>ию</w:t>
            </w:r>
            <w:r>
              <w:rPr>
                <w:rFonts w:cs="Tahoma"/>
                <w:szCs w:val="20"/>
                <w:highlight w:val="cyan"/>
              </w:rPr>
              <w:t xml:space="preserve"> </w:t>
            </w:r>
            <w:r w:rsidRPr="00DF0322">
              <w:rPr>
                <w:rFonts w:cs="Tahoma"/>
                <w:szCs w:val="20"/>
                <w:highlight w:val="cyan"/>
              </w:rPr>
              <w:t>№1</w:t>
            </w:r>
            <w:r>
              <w:rPr>
                <w:rFonts w:cs="Tahoma"/>
                <w:szCs w:val="20"/>
              </w:rPr>
              <w:t xml:space="preserve"> Т</w:t>
            </w:r>
            <w:r w:rsidRPr="005C17BE">
              <w:rPr>
                <w:rFonts w:cs="Tahoma"/>
                <w:szCs w:val="20"/>
              </w:rPr>
              <w:t>ехническ</w:t>
            </w:r>
            <w:r w:rsidR="001A2666">
              <w:rPr>
                <w:rFonts w:cs="Tahoma"/>
                <w:szCs w:val="20"/>
              </w:rPr>
              <w:t>ому</w:t>
            </w:r>
            <w:r w:rsidRPr="005C17BE">
              <w:rPr>
                <w:rFonts w:cs="Tahoma"/>
                <w:szCs w:val="20"/>
              </w:rPr>
              <w:t xml:space="preserve"> задани</w:t>
            </w:r>
            <w:r w:rsidR="001A2666">
              <w:rPr>
                <w:rFonts w:cs="Tahoma"/>
                <w:szCs w:val="20"/>
              </w:rPr>
              <w:t>ю</w:t>
            </w:r>
            <w:bookmarkStart w:id="9" w:name="_GoBack"/>
            <w:bookmarkEnd w:id="9"/>
            <w:r w:rsidRPr="005C17BE">
              <w:rPr>
                <w:rFonts w:cs="Tahoma"/>
                <w:szCs w:val="20"/>
              </w:rPr>
              <w:t>)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</w:t>
            </w:r>
            <w:r w:rsidRPr="00E7633F">
              <w:rPr>
                <w:rFonts w:cs="Tahoma"/>
                <w:szCs w:val="20"/>
                <w:vertAlign w:val="superscript"/>
              </w:rPr>
              <w:footnoteReference w:id="5"/>
            </w:r>
            <w:r w:rsidRPr="00E7633F">
              <w:rPr>
                <w:rFonts w:cs="Tahoma"/>
                <w:szCs w:val="20"/>
              </w:rPr>
              <w:t>, вида (перечня) работ или услуг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2B0444" w:rsidTr="002B0444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3.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rPr>
                <w:rFonts w:cs="Tahoma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44" w:rsidRPr="00E7633F" w:rsidRDefault="002B0444" w:rsidP="002B0444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</w:tbl>
    <w:p w:rsidR="002B0444" w:rsidRDefault="002B0444" w:rsidP="002B0444">
      <w:pPr>
        <w:pStyle w:val="a6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:rsidR="002B0444" w:rsidRDefault="002B0444" w:rsidP="002B0444">
      <w:pPr>
        <w:spacing w:after="200" w:line="276" w:lineRule="auto"/>
        <w:rPr>
          <w:color w:val="000000"/>
          <w:lang w:eastAsia="en-US"/>
        </w:rPr>
      </w:pPr>
      <w:r>
        <w:rPr>
          <w:color w:val="000000"/>
        </w:rPr>
        <w:br w:type="page"/>
      </w:r>
    </w:p>
    <w:p w:rsidR="002B0444" w:rsidRPr="006431E2" w:rsidRDefault="002B0444" w:rsidP="002B0444">
      <w:pPr>
        <w:pStyle w:val="a6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:rsidR="002B0444" w:rsidRPr="00C06362" w:rsidRDefault="002B0444" w:rsidP="002B0444">
      <w:pPr>
        <w:pStyle w:val="a6"/>
        <w:spacing w:after="0" w:line="276" w:lineRule="auto"/>
        <w:ind w:firstLine="0"/>
        <w:jc w:val="center"/>
        <w:rPr>
          <w:b/>
        </w:rPr>
      </w:pPr>
      <w:r>
        <w:rPr>
          <w:b/>
          <w:lang w:val="en-US"/>
        </w:rPr>
        <w:t>II</w:t>
      </w:r>
      <w:r w:rsidRPr="00C06362">
        <w:rPr>
          <w:b/>
        </w:rPr>
        <w:t xml:space="preserve">. </w:t>
      </w:r>
      <w:r w:rsidRPr="00F475DA">
        <w:rPr>
          <w:b/>
        </w:rPr>
        <w:t>Критерии о</w:t>
      </w:r>
      <w:r>
        <w:rPr>
          <w:b/>
        </w:rPr>
        <w:t>ценки</w:t>
      </w:r>
      <w:r w:rsidRPr="00C06362">
        <w:rPr>
          <w:b/>
        </w:rPr>
        <w:t xml:space="preserve"> </w:t>
      </w:r>
      <w:r>
        <w:rPr>
          <w:b/>
        </w:rPr>
        <w:t>и весовые коэффициенты</w:t>
      </w:r>
    </w:p>
    <w:p w:rsidR="002B0444" w:rsidRPr="00FB3662" w:rsidRDefault="002B0444" w:rsidP="002B0444">
      <w:pPr>
        <w:pStyle w:val="a6"/>
        <w:spacing w:after="0" w:line="276" w:lineRule="auto"/>
        <w:ind w:firstLine="0"/>
        <w:jc w:val="right"/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296"/>
        <w:gridCol w:w="2116"/>
        <w:gridCol w:w="2116"/>
        <w:gridCol w:w="1170"/>
        <w:gridCol w:w="1171"/>
        <w:gridCol w:w="1171"/>
      </w:tblGrid>
      <w:tr w:rsidR="002B0444" w:rsidRPr="00FB3662" w:rsidTr="002B0444">
        <w:trPr>
          <w:trHeight w:val="390"/>
        </w:trPr>
        <w:tc>
          <w:tcPr>
            <w:tcW w:w="820" w:type="dxa"/>
            <w:shd w:val="clear" w:color="auto" w:fill="auto"/>
            <w:vAlign w:val="center"/>
          </w:tcPr>
          <w:p w:rsidR="002B0444" w:rsidRPr="00FB3662" w:rsidRDefault="002B0444" w:rsidP="002B0444">
            <w:pPr>
              <w:spacing w:line="276" w:lineRule="auto"/>
              <w:jc w:val="center"/>
            </w:pPr>
            <w:r w:rsidRPr="00FB3662">
              <w:t>№</w:t>
            </w:r>
          </w:p>
          <w:p w:rsidR="002B0444" w:rsidRPr="00FB3662" w:rsidRDefault="002B0444" w:rsidP="002B0444">
            <w:pPr>
              <w:spacing w:line="276" w:lineRule="auto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2B0444" w:rsidRPr="00FB3662" w:rsidRDefault="002B0444" w:rsidP="002B0444">
            <w:pPr>
              <w:spacing w:line="276" w:lineRule="auto"/>
              <w:jc w:val="center"/>
            </w:pPr>
            <w:r w:rsidRPr="00FB3662">
              <w:t>Критерий</w:t>
            </w:r>
          </w:p>
          <w:p w:rsidR="002B0444" w:rsidRPr="00FB3662" w:rsidRDefault="002B0444" w:rsidP="002B0444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2B0444" w:rsidRPr="00FB3662" w:rsidRDefault="002B0444" w:rsidP="002B0444">
            <w:pPr>
              <w:spacing w:line="276" w:lineRule="auto"/>
              <w:jc w:val="center"/>
            </w:pPr>
            <w:r w:rsidRPr="00FB3662">
              <w:t>Подкритерий первого уровня</w:t>
            </w:r>
          </w:p>
          <w:p w:rsidR="002B0444" w:rsidRPr="00FB3662" w:rsidRDefault="002B0444" w:rsidP="002B0444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2B0444" w:rsidRPr="00FB3662" w:rsidRDefault="002B0444" w:rsidP="002B0444">
            <w:pPr>
              <w:spacing w:line="276" w:lineRule="auto"/>
              <w:jc w:val="center"/>
            </w:pPr>
            <w:r w:rsidRPr="00FB3662">
              <w:t>Подкритерий второго уровня</w:t>
            </w:r>
          </w:p>
          <w:p w:rsidR="002B0444" w:rsidRPr="00FB3662" w:rsidRDefault="002B0444" w:rsidP="002B0444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0444" w:rsidRPr="00C81EE3" w:rsidRDefault="002B0444" w:rsidP="002B0444">
            <w:pPr>
              <w:spacing w:line="276" w:lineRule="auto"/>
              <w:jc w:val="center"/>
            </w:pPr>
            <w:r w:rsidRPr="00C81EE3">
              <w:t>Весовой коэффициент критерия</w:t>
            </w:r>
          </w:p>
          <w:p w:rsidR="002B0444" w:rsidRPr="00C81EE3" w:rsidRDefault="002B0444" w:rsidP="002B0444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0444" w:rsidRPr="00C81EE3" w:rsidRDefault="002B0444" w:rsidP="002B0444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первого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2B0444" w:rsidRPr="00C81EE3" w:rsidRDefault="002B0444" w:rsidP="002B0444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0444" w:rsidRPr="00C81EE3" w:rsidRDefault="002B0444" w:rsidP="002B0444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второго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2B0444" w:rsidRPr="00C81EE3" w:rsidRDefault="002B0444" w:rsidP="002B0444">
            <w:pPr>
              <w:spacing w:line="276" w:lineRule="auto"/>
              <w:jc w:val="center"/>
            </w:pPr>
          </w:p>
        </w:tc>
      </w:tr>
      <w:tr w:rsidR="002B0444" w:rsidRPr="00FB3662" w:rsidTr="002B0444">
        <w:trPr>
          <w:trHeight w:val="210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 xml:space="preserve">1. 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 xml:space="preserve">Коммерческие условия </w:t>
            </w:r>
            <w:r>
              <w:t>заявки</w:t>
            </w: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C81EE3">
              <w:t>1</w:t>
            </w: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</w:tr>
      <w:tr w:rsidR="002B0444" w:rsidRPr="00FB3662" w:rsidTr="002B0444">
        <w:trPr>
          <w:trHeight w:val="105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1.1.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 xml:space="preserve">Стоимость </w:t>
            </w:r>
            <w:r>
              <w:t>заявки</w:t>
            </w:r>
            <w:r w:rsidRPr="00FB3662">
              <w:rPr>
                <w:rStyle w:val="a9"/>
              </w:rPr>
              <w:footnoteReference w:id="6"/>
            </w:r>
          </w:p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C81EE3">
              <w:t>0,</w:t>
            </w:r>
            <w:r>
              <w:t>7</w:t>
            </w: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</w:tr>
      <w:tr w:rsidR="002B0444" w:rsidRPr="00FB3662" w:rsidTr="002B0444">
        <w:trPr>
          <w:trHeight w:val="990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1.2.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 xml:space="preserve">Прочие финансовые условия </w:t>
            </w:r>
            <w:r>
              <w:t>заявки</w:t>
            </w:r>
            <w:r w:rsidRPr="00FB3662">
              <w:rPr>
                <w:rStyle w:val="a9"/>
              </w:rPr>
              <w:footnoteReference w:id="7"/>
            </w:r>
            <w:r w:rsidRPr="00FB3662">
              <w:t xml:space="preserve"> </w:t>
            </w: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C81EE3">
              <w:t>0,</w:t>
            </w:r>
            <w:r>
              <w:t>2</w:t>
            </w: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</w:tr>
      <w:tr w:rsidR="002B0444" w:rsidRPr="00FB3662" w:rsidTr="002B0444">
        <w:trPr>
          <w:trHeight w:val="495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1.2.1.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Условия оплаты</w:t>
            </w: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DF4687" w:rsidRDefault="002B0444" w:rsidP="002B0444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6</w:t>
            </w:r>
          </w:p>
        </w:tc>
      </w:tr>
      <w:tr w:rsidR="002B0444" w:rsidRPr="00FB3662" w:rsidTr="002B0444">
        <w:trPr>
          <w:trHeight w:val="529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1.2.2.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Удержанный платеж</w:t>
            </w:r>
            <w:r w:rsidRPr="00FB3662">
              <w:rPr>
                <w:rStyle w:val="a9"/>
              </w:rPr>
              <w:footnoteReference w:id="8"/>
            </w:r>
            <w:r w:rsidRPr="00FB3662">
              <w:t>, банковская гарантия, залог</w:t>
            </w: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DF4687" w:rsidRDefault="002B0444" w:rsidP="002B0444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2</w:t>
            </w:r>
          </w:p>
        </w:tc>
      </w:tr>
      <w:tr w:rsidR="002B0444" w:rsidRPr="00FB3662" w:rsidTr="002B0444">
        <w:trPr>
          <w:trHeight w:val="336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1.2.3.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Штрафы и пени</w:t>
            </w: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C81EE3">
              <w:t>0,</w:t>
            </w:r>
            <w:r w:rsidRPr="00DF4687">
              <w:t>1</w:t>
            </w:r>
          </w:p>
        </w:tc>
      </w:tr>
      <w:tr w:rsidR="002B0444" w:rsidRPr="00FB3662" w:rsidTr="002B0444">
        <w:trPr>
          <w:trHeight w:val="375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1.2.4.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 w:rsidRPr="00FB3662">
              <w:t>Форма расчета</w:t>
            </w: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C81EE3">
              <w:t>0,1</w:t>
            </w:r>
          </w:p>
        </w:tc>
      </w:tr>
      <w:tr w:rsidR="002B0444" w:rsidRPr="00FB3662" w:rsidTr="002B0444">
        <w:trPr>
          <w:trHeight w:val="375"/>
        </w:trPr>
        <w:tc>
          <w:tcPr>
            <w:tcW w:w="820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>
              <w:t>1.3.</w:t>
            </w:r>
          </w:p>
        </w:tc>
        <w:tc>
          <w:tcPr>
            <w:tcW w:w="129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  <w:r>
              <w:t>Прочие контрактные условия заявки</w:t>
            </w:r>
          </w:p>
        </w:tc>
        <w:tc>
          <w:tcPr>
            <w:tcW w:w="2116" w:type="dxa"/>
            <w:shd w:val="clear" w:color="auto" w:fill="auto"/>
          </w:tcPr>
          <w:p w:rsidR="002B0444" w:rsidRPr="00FB3662" w:rsidRDefault="002B0444" w:rsidP="002B0444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  <w:r w:rsidRPr="00DF4687">
              <w:t>0,1</w:t>
            </w:r>
          </w:p>
        </w:tc>
        <w:tc>
          <w:tcPr>
            <w:tcW w:w="1171" w:type="dxa"/>
            <w:shd w:val="clear" w:color="auto" w:fill="auto"/>
          </w:tcPr>
          <w:p w:rsidR="002B0444" w:rsidRPr="00C81EE3" w:rsidRDefault="002B0444" w:rsidP="002B0444">
            <w:pPr>
              <w:spacing w:line="276" w:lineRule="auto"/>
            </w:pPr>
          </w:p>
        </w:tc>
      </w:tr>
    </w:tbl>
    <w:p w:rsidR="002B0444" w:rsidRPr="006431E2" w:rsidRDefault="002B0444" w:rsidP="002B0444">
      <w:pPr>
        <w:jc w:val="both"/>
        <w:rPr>
          <w:color w:val="000000"/>
          <w:lang w:eastAsia="en-US"/>
        </w:rPr>
      </w:pPr>
      <w:r w:rsidRPr="006431E2">
        <w:rPr>
          <w:color w:val="000000"/>
        </w:rPr>
        <w:br w:type="page"/>
      </w:r>
    </w:p>
    <w:p w:rsidR="00696BD4" w:rsidRPr="00DF0322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CC2F4C">
        <w:rPr>
          <w:rFonts w:ascii="Tahoma" w:hAnsi="Tahoma" w:cs="Tahoma"/>
          <w:sz w:val="20"/>
        </w:rPr>
        <w:lastRenderedPageBreak/>
        <w:t xml:space="preserve">При оценке </w:t>
      </w:r>
      <w:r>
        <w:rPr>
          <w:rFonts w:ascii="Tahoma" w:hAnsi="Tahoma" w:cs="Tahoma"/>
          <w:sz w:val="20"/>
          <w:lang w:val="ru-RU"/>
        </w:rPr>
        <w:t>заявок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У</w:t>
      </w:r>
      <w:r>
        <w:rPr>
          <w:rFonts w:ascii="Tahoma" w:hAnsi="Tahoma" w:cs="Tahoma"/>
          <w:sz w:val="20"/>
        </w:rPr>
        <w:t xml:space="preserve">частников используется </w:t>
      </w:r>
      <w:proofErr w:type="spellStart"/>
      <w:r>
        <w:rPr>
          <w:rFonts w:ascii="Tahoma" w:hAnsi="Tahoma" w:cs="Tahoma"/>
          <w:sz w:val="20"/>
        </w:rPr>
        <w:t>четырех</w:t>
      </w:r>
      <w:r w:rsidRPr="00CC2F4C">
        <w:rPr>
          <w:rFonts w:ascii="Tahoma" w:hAnsi="Tahoma" w:cs="Tahoma"/>
          <w:sz w:val="20"/>
        </w:rPr>
        <w:t>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ьная</w:t>
      </w:r>
      <w:proofErr w:type="spellEnd"/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шкала</w:t>
      </w:r>
      <w:r>
        <w:rPr>
          <w:rFonts w:ascii="Tahoma" w:hAnsi="Tahoma" w:cs="Tahoma"/>
          <w:sz w:val="20"/>
        </w:rPr>
        <w:t>.</w:t>
      </w: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b/>
          <w:sz w:val="20"/>
          <w:lang w:val="ru-RU"/>
        </w:rPr>
      </w:pPr>
      <w:r>
        <w:rPr>
          <w:rFonts w:ascii="Tahoma" w:hAnsi="Tahoma" w:cs="Tahoma"/>
          <w:sz w:val="20"/>
          <w:lang w:val="ru-RU"/>
        </w:rPr>
        <w:t xml:space="preserve">Оценка по каждому подкритерию определяется </w:t>
      </w:r>
      <w:r w:rsidRPr="00CC2F4C">
        <w:rPr>
          <w:rFonts w:ascii="Tahoma" w:hAnsi="Tahoma" w:cs="Tahoma"/>
          <w:sz w:val="20"/>
        </w:rPr>
        <w:t xml:space="preserve">путем </w:t>
      </w:r>
      <w:r>
        <w:rPr>
          <w:rFonts w:ascii="Tahoma" w:hAnsi="Tahoma" w:cs="Tahoma"/>
          <w:sz w:val="20"/>
        </w:rPr>
        <w:t>произведен</w:t>
      </w:r>
      <w:r>
        <w:rPr>
          <w:rFonts w:ascii="Tahoma" w:hAnsi="Tahoma" w:cs="Tahoma"/>
          <w:sz w:val="20"/>
          <w:lang w:val="ru-RU"/>
        </w:rPr>
        <w:t>ия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выставленных</w:t>
      </w:r>
      <w:r w:rsidRPr="00CC2F4C">
        <w:rPr>
          <w:rFonts w:ascii="Tahoma" w:hAnsi="Tahoma" w:cs="Tahoma"/>
          <w:sz w:val="20"/>
        </w:rPr>
        <w:t xml:space="preserve"> баллов</w:t>
      </w:r>
      <w:r w:rsidRPr="00EF3BC1"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и соответствующ</w:t>
      </w:r>
      <w:r>
        <w:rPr>
          <w:rFonts w:ascii="Tahoma" w:hAnsi="Tahoma" w:cs="Tahoma"/>
          <w:sz w:val="20"/>
          <w:lang w:val="ru-RU"/>
        </w:rPr>
        <w:t>их</w:t>
      </w:r>
      <w:r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весо</w:t>
      </w:r>
      <w:r>
        <w:rPr>
          <w:rFonts w:ascii="Tahoma" w:hAnsi="Tahoma" w:cs="Tahoma"/>
          <w:sz w:val="20"/>
          <w:lang w:val="ru-RU"/>
        </w:rPr>
        <w:t>вых</w:t>
      </w:r>
      <w:r w:rsidRPr="00CC2F4C">
        <w:rPr>
          <w:rFonts w:ascii="Tahoma" w:hAnsi="Tahoma" w:cs="Tahoma"/>
          <w:sz w:val="20"/>
        </w:rPr>
        <w:t xml:space="preserve"> коэффициент</w:t>
      </w:r>
      <w:r>
        <w:rPr>
          <w:rFonts w:ascii="Tahoma" w:hAnsi="Tahoma" w:cs="Tahoma"/>
          <w:sz w:val="20"/>
          <w:lang w:val="ru-RU"/>
        </w:rPr>
        <w:t>ов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данного под</w:t>
      </w:r>
      <w:r w:rsidRPr="00CC2F4C">
        <w:rPr>
          <w:rFonts w:ascii="Tahoma" w:hAnsi="Tahoma" w:cs="Tahoma"/>
          <w:sz w:val="20"/>
        </w:rPr>
        <w:t>критерия</w:t>
      </w:r>
      <w:r>
        <w:rPr>
          <w:rFonts w:ascii="Tahoma" w:hAnsi="Tahoma" w:cs="Tahoma"/>
          <w:sz w:val="20"/>
          <w:lang w:val="ru-RU"/>
        </w:rPr>
        <w:t>. О</w:t>
      </w:r>
      <w:r w:rsidRPr="008D4B5A">
        <w:rPr>
          <w:rFonts w:ascii="Tahoma" w:hAnsi="Tahoma" w:cs="Tahoma"/>
          <w:sz w:val="20"/>
          <w:lang w:val="ru-RU"/>
        </w:rPr>
        <w:t xml:space="preserve">ценка </w:t>
      </w:r>
      <w:r>
        <w:rPr>
          <w:rFonts w:ascii="Tahoma" w:hAnsi="Tahoma" w:cs="Tahoma"/>
          <w:sz w:val="20"/>
          <w:lang w:val="ru-RU"/>
        </w:rPr>
        <w:t>по подкритерию «</w:t>
      </w:r>
      <w:r w:rsidRPr="00AA5353">
        <w:rPr>
          <w:rFonts w:ascii="Tahoma" w:hAnsi="Tahoma" w:cs="Tahoma"/>
          <w:sz w:val="20"/>
          <w:lang w:val="ru-RU"/>
        </w:rPr>
        <w:t>Прочие финансовые условия предложения</w:t>
      </w:r>
      <w:r>
        <w:rPr>
          <w:rFonts w:ascii="Tahoma" w:hAnsi="Tahoma" w:cs="Tahoma"/>
          <w:sz w:val="20"/>
          <w:lang w:val="ru-RU"/>
        </w:rPr>
        <w:t>»</w:t>
      </w:r>
      <w:r w:rsidRPr="008D4B5A">
        <w:rPr>
          <w:rFonts w:ascii="Tahoma" w:hAnsi="Tahoma" w:cs="Tahoma"/>
          <w:sz w:val="20"/>
          <w:lang w:val="ru-RU"/>
        </w:rPr>
        <w:t xml:space="preserve"> вычисляется путем </w:t>
      </w:r>
      <w:r>
        <w:rPr>
          <w:rFonts w:ascii="Tahoma" w:hAnsi="Tahoma" w:cs="Tahoma"/>
          <w:sz w:val="20"/>
          <w:lang w:val="ru-RU"/>
        </w:rPr>
        <w:t xml:space="preserve">произведения </w:t>
      </w:r>
      <w:r w:rsidRPr="008D4B5A">
        <w:rPr>
          <w:rFonts w:ascii="Tahoma" w:hAnsi="Tahoma" w:cs="Tahoma"/>
          <w:sz w:val="20"/>
          <w:lang w:val="ru-RU"/>
        </w:rPr>
        <w:t xml:space="preserve">сумм полученных значений </w:t>
      </w:r>
      <w:r>
        <w:rPr>
          <w:rFonts w:ascii="Tahoma" w:hAnsi="Tahoma" w:cs="Tahoma"/>
          <w:sz w:val="20"/>
          <w:lang w:val="ru-RU"/>
        </w:rPr>
        <w:t>подкритериев второго уровня на весовой коэффициент данного критерия</w:t>
      </w:r>
      <w:r w:rsidRPr="008D4B5A">
        <w:rPr>
          <w:rFonts w:ascii="Tahoma" w:hAnsi="Tahoma" w:cs="Tahoma"/>
          <w:sz w:val="20"/>
          <w:lang w:val="ru-RU"/>
        </w:rPr>
        <w:t>. Итоговая оценка кажд</w:t>
      </w:r>
      <w:r>
        <w:rPr>
          <w:rFonts w:ascii="Tahoma" w:hAnsi="Tahoma" w:cs="Tahoma"/>
          <w:sz w:val="20"/>
          <w:lang w:val="ru-RU"/>
        </w:rPr>
        <w:t xml:space="preserve">ой заявки </w:t>
      </w:r>
      <w:r w:rsidRPr="008D4B5A">
        <w:rPr>
          <w:rFonts w:ascii="Tahoma" w:hAnsi="Tahoma" w:cs="Tahoma"/>
          <w:sz w:val="20"/>
          <w:lang w:val="ru-RU"/>
        </w:rPr>
        <w:t xml:space="preserve">вычисляется путем суммирования полученных значений </w:t>
      </w:r>
      <w:r>
        <w:rPr>
          <w:rFonts w:ascii="Tahoma" w:hAnsi="Tahoma" w:cs="Tahoma"/>
          <w:sz w:val="20"/>
          <w:lang w:val="ru-RU"/>
        </w:rPr>
        <w:t>подкритериев первого уровня</w:t>
      </w:r>
      <w:r w:rsidRPr="008D4B5A">
        <w:rPr>
          <w:rFonts w:ascii="Tahoma" w:hAnsi="Tahoma" w:cs="Tahoma"/>
          <w:sz w:val="20"/>
          <w:lang w:val="ru-RU"/>
        </w:rPr>
        <w:t>.</w:t>
      </w: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696BD4" w:rsidRPr="00DA1ACD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DA1ACD">
        <w:rPr>
          <w:rFonts w:ascii="Tahoma" w:hAnsi="Tahoma" w:cs="Tahoma"/>
          <w:sz w:val="20"/>
          <w:lang w:val="ru-RU"/>
        </w:rPr>
        <w:t xml:space="preserve">По </w:t>
      </w:r>
      <w:r w:rsidRPr="002D208A">
        <w:rPr>
          <w:rFonts w:ascii="Tahoma" w:hAnsi="Tahoma" w:cs="Tahoma"/>
          <w:sz w:val="20"/>
          <w:lang w:val="ru-RU"/>
        </w:rPr>
        <w:t>под</w:t>
      </w:r>
      <w:r w:rsidRPr="00DA1ACD">
        <w:rPr>
          <w:rFonts w:ascii="Tahoma" w:hAnsi="Tahoma" w:cs="Tahoma"/>
          <w:sz w:val="20"/>
          <w:lang w:val="ru-RU"/>
        </w:rPr>
        <w:t xml:space="preserve">критерию «Стоимость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DA1ACD">
        <w:rPr>
          <w:rFonts w:ascii="Tahoma" w:hAnsi="Tahoma" w:cs="Tahoma"/>
          <w:sz w:val="20"/>
          <w:lang w:val="ru-RU"/>
        </w:rPr>
        <w:t>» оценка производится в соответствии со следующей методикой:</w:t>
      </w: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lang w:val="ru-RU"/>
        </w:rPr>
      </w:pP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</w:t>
      </w:r>
      <w:r>
        <w:rPr>
          <w:rFonts w:ascii="Tahoma" w:hAnsi="Tahoma" w:cs="Tahoma"/>
          <w:sz w:val="20"/>
          <w:lang w:val="ru-RU"/>
        </w:rPr>
        <w:t>заявки, указанная в оферте Участника,</w:t>
      </w:r>
      <w:r w:rsidRPr="00CC2F4C">
        <w:rPr>
          <w:rFonts w:ascii="Tahoma" w:hAnsi="Tahoma" w:cs="Tahoma"/>
          <w:sz w:val="20"/>
        </w:rPr>
        <w:t xml:space="preserve"> подлежит дисконтированию с учетом графика оплаты</w:t>
      </w:r>
      <w:r>
        <w:rPr>
          <w:rFonts w:ascii="Tahoma" w:hAnsi="Tahoma" w:cs="Tahoma"/>
          <w:sz w:val="20"/>
          <w:lang w:val="ru-RU"/>
        </w:rPr>
        <w:t>, представленного в заявке Участника,</w:t>
      </w:r>
      <w:r w:rsidRPr="00CC2F4C">
        <w:rPr>
          <w:rFonts w:ascii="Tahoma" w:hAnsi="Tahoma" w:cs="Tahoma"/>
          <w:sz w:val="20"/>
        </w:rPr>
        <w:t xml:space="preserve"> и ставки рефинансирования Центрального Банка Российской Федерации. 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Дисконтирование производится по следующей формуле: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m:oMath>
        <m:r>
          <m:rPr>
            <m:sty m:val="p"/>
          </m:rPr>
          <w:rPr>
            <w:rFonts w:ascii="Cambria Math" w:hAnsi="Tahoma" w:cs="Tahoma"/>
            <w:sz w:val="20"/>
          </w:rPr>
          <m:t>Стоимость</m:t>
        </m:r>
        <m:r>
          <m:rPr>
            <m:sty m:val="b"/>
          </m:rPr>
          <w:rPr>
            <w:rFonts w:ascii="Cambria Math" w:hAnsi="Tahoma" w:cs="Tahoma"/>
            <w:sz w:val="20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eastAsia="Calibri" w:hAnsi="Tahoma" w:cs="Tahoma"/>
                <w:bCs/>
                <w:sz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Tahoma" w:cs="Tahoma"/>
                <w:sz w:val="20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n</m:t>
            </m:r>
          </m:sup>
          <m:e>
            <m:f>
              <m:fPr>
                <m:ctrlPr>
                  <w:rPr>
                    <w:rFonts w:ascii="Cambria Math" w:eastAsia="Calibri" w:hAnsi="Tahoma" w:cs="Tahoma"/>
                    <w:bCs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ahoma" w:cs="Tahoma"/>
                        <w:sz w:val="20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Tahoma" w:cs="Tahoma"/>
                            <w:bCs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 w:val="20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ahoma" w:cs="Tahoma"/>
                            <w:sz w:val="2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="Calibri" w:hAnsi="Tahoma" w:cs="Tahoma"/>
                                <w:bCs/>
                                <w:sz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ahoma" w:cs="Tahoma"/>
                                <w:sz w:val="20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 w:val="20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  <m:ctrlPr>
                      <w:rPr>
                        <w:rFonts w:ascii="Cambria Math" w:eastAsia="Calibri" w:hAnsi="Tahoma" w:cs="Tahoma"/>
                        <w:bCs/>
                        <w:i/>
                        <w:iCs/>
                        <w:sz w:val="20"/>
                      </w:rPr>
                    </m:ctrlPr>
                  </m:sup>
                </m:sSup>
                <m:ctrlPr>
                  <w:rPr>
                    <w:rFonts w:ascii="Cambria Math" w:eastAsia="Calibri" w:hAnsi="Tahoma" w:cs="Tahoma"/>
                    <w:bCs/>
                    <w:i/>
                    <w:iCs/>
                    <w:sz w:val="20"/>
                  </w:rPr>
                </m:ctrlPr>
              </m:den>
            </m:f>
          </m:e>
        </m:nary>
      </m:oMath>
      <w:r w:rsidRPr="00CC2F4C">
        <w:rPr>
          <w:rFonts w:ascii="Tahoma" w:hAnsi="Tahoma" w:cs="Tahoma"/>
          <w:sz w:val="20"/>
        </w:rPr>
        <w:t xml:space="preserve"> 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Где: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– дисконтированная 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без НДС;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n – количество месяцев/дней от момента заключения договора до наступления срока последнего платежа;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i - счетный месяц/день наступления очередного платежа;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Платеж</w:t>
      </w:r>
      <w:r w:rsidRPr="00AA5353">
        <w:rPr>
          <w:rFonts w:ascii="Tahoma" w:hAnsi="Tahoma" w:cs="Tahoma"/>
          <w:sz w:val="20"/>
          <w:vertAlign w:val="subscript"/>
        </w:rPr>
        <w:t>i</w:t>
      </w:r>
      <w:proofErr w:type="spellEnd"/>
      <w:r w:rsidRPr="00CC2F4C">
        <w:rPr>
          <w:rFonts w:ascii="Tahoma" w:hAnsi="Tahoma" w:cs="Tahoma"/>
          <w:sz w:val="20"/>
        </w:rPr>
        <w:t xml:space="preserve"> – сумма оплаты в месяц/день i в соответствии с графиком платежей без НДС;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Ставка – ставка рефинансирования Центрального Банка Российской Федерации. 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ni</w:t>
      </w:r>
      <w:proofErr w:type="spellEnd"/>
      <w:r w:rsidRPr="00CC2F4C">
        <w:rPr>
          <w:rFonts w:ascii="Tahoma" w:hAnsi="Tahoma" w:cs="Tahoma"/>
          <w:sz w:val="20"/>
        </w:rPr>
        <w:t xml:space="preserve"> – количество счетных месяцев/дней в году.</w:t>
      </w: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CC2F4C" w:rsidRDefault="00696BD4" w:rsidP="00696BD4">
      <w:pPr>
        <w:ind w:firstLine="708"/>
        <w:rPr>
          <w:rFonts w:cs="Tahoma"/>
        </w:rPr>
      </w:pPr>
      <w:r w:rsidRPr="00CC2F4C">
        <w:rPr>
          <w:rFonts w:cs="Tahoma"/>
        </w:rPr>
        <w:t>Бал</w:t>
      </w:r>
      <w:r>
        <w:rPr>
          <w:rFonts w:cs="Tahoma"/>
        </w:rPr>
        <w:t>л</w:t>
      </w:r>
      <w:r w:rsidRPr="00CC2F4C">
        <w:rPr>
          <w:rFonts w:cs="Tahoma"/>
        </w:rPr>
        <w:t xml:space="preserve">ьная оценка </w:t>
      </w:r>
      <w:r>
        <w:rPr>
          <w:rFonts w:cs="Tahoma"/>
        </w:rPr>
        <w:t xml:space="preserve">каждой заявки </w:t>
      </w:r>
      <w:r w:rsidRPr="00CC2F4C">
        <w:rPr>
          <w:rFonts w:cs="Tahoma"/>
        </w:rPr>
        <w:t xml:space="preserve">по критерию </w:t>
      </w:r>
      <w:r>
        <w:rPr>
          <w:rFonts w:cs="Tahoma"/>
        </w:rPr>
        <w:t>«</w:t>
      </w:r>
      <w:r w:rsidRPr="00CC2F4C">
        <w:rPr>
          <w:rFonts w:cs="Tahoma"/>
        </w:rPr>
        <w:t xml:space="preserve">Стоимость </w:t>
      </w:r>
      <w:r>
        <w:rPr>
          <w:rFonts w:cs="Tahoma"/>
        </w:rPr>
        <w:t>заявки»</w:t>
      </w:r>
      <w:r w:rsidRPr="00CC2F4C">
        <w:rPr>
          <w:rFonts w:cs="Tahoma"/>
        </w:rPr>
        <w:t xml:space="preserve"> </w:t>
      </w:r>
      <w:r>
        <w:rPr>
          <w:rFonts w:cs="Tahoma"/>
        </w:rPr>
        <w:t>определяется</w:t>
      </w:r>
      <w:r w:rsidRPr="00CC2F4C">
        <w:rPr>
          <w:rFonts w:cs="Tahoma"/>
        </w:rPr>
        <w:t xml:space="preserve"> по следующей формуле:</w:t>
      </w:r>
    </w:p>
    <w:p w:rsidR="00696BD4" w:rsidRPr="00CC2F4C" w:rsidRDefault="00696BD4" w:rsidP="00696BD4">
      <w:pPr>
        <w:rPr>
          <w:rFonts w:cs="Tahoma"/>
        </w:rPr>
      </w:pPr>
    </w:p>
    <w:p w:rsidR="00696BD4" w:rsidRPr="00B2716E" w:rsidRDefault="001A2666" w:rsidP="00696BD4">
      <w:pPr>
        <w:rPr>
          <w:rFonts w:cs="Tahom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ahoma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ahoma"/>
                  <w:lang w:val="en-US"/>
                </w:rPr>
                <m:t>Ra</m:t>
              </m:r>
            </m:e>
            <m:sub>
              <m:r>
                <w:rPr>
                  <w:rFonts w:ascii="Cambria Math" w:hAnsi="Cambria Math" w:cs="Tahoma"/>
                  <w:lang w:val="en-US"/>
                </w:rPr>
                <m:t>i</m:t>
              </m:r>
            </m:sub>
          </m:sSub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696BD4" w:rsidRPr="00CC2F4C" w:rsidRDefault="00696BD4" w:rsidP="00696BD4">
      <w:pPr>
        <w:rPr>
          <w:rFonts w:cs="Tahoma"/>
        </w:rPr>
      </w:pPr>
    </w:p>
    <w:p w:rsidR="00696BD4" w:rsidRPr="00CC2F4C" w:rsidRDefault="001A2666" w:rsidP="00696BD4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696BD4" w:rsidRPr="00CC2F4C">
        <w:rPr>
          <w:rFonts w:cs="Tahoma"/>
        </w:rPr>
        <w:t xml:space="preserve"> – баллы, присуждаемые </w:t>
      </w:r>
      <w:r w:rsidR="00696BD4" w:rsidRPr="00CC2F4C">
        <w:rPr>
          <w:rFonts w:cs="Tahoma"/>
          <w:lang w:val="en-US"/>
        </w:rPr>
        <w:t>i</w:t>
      </w:r>
      <w:r w:rsidR="00696BD4" w:rsidRPr="00CC2F4C">
        <w:rPr>
          <w:rFonts w:cs="Tahoma"/>
        </w:rPr>
        <w:t>-му участнику;</w:t>
      </w:r>
    </w:p>
    <w:p w:rsidR="00696BD4" w:rsidRPr="00CC2F4C" w:rsidRDefault="001A2666" w:rsidP="00696BD4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696BD4" w:rsidRPr="00CC2F4C">
        <w:rPr>
          <w:rFonts w:cs="Tahoma"/>
        </w:rPr>
        <w:t xml:space="preserve"> – </w:t>
      </w:r>
      <w:r w:rsidR="00696BD4" w:rsidRPr="007F73E6">
        <w:rPr>
          <w:rFonts w:cs="Tahoma"/>
        </w:rPr>
        <w:t>минимальная дисконтированная</w:t>
      </w:r>
      <w:r w:rsidR="00696BD4" w:rsidRPr="00CC2F4C">
        <w:rPr>
          <w:rFonts w:cs="Tahoma"/>
        </w:rPr>
        <w:t xml:space="preserve"> стоимость</w:t>
      </w:r>
      <w:r w:rsidR="00696BD4">
        <w:rPr>
          <w:rFonts w:cs="Tahoma"/>
        </w:rPr>
        <w:t xml:space="preserve"> заявки</w:t>
      </w:r>
      <w:r w:rsidR="00696BD4" w:rsidRPr="00CC2F4C">
        <w:rPr>
          <w:rFonts w:cs="Tahoma"/>
        </w:rPr>
        <w:t xml:space="preserve">, предложенная </w:t>
      </w:r>
      <w:r w:rsidR="00696BD4">
        <w:rPr>
          <w:rFonts w:cs="Tahoma"/>
        </w:rPr>
        <w:t>У</w:t>
      </w:r>
      <w:r w:rsidR="00696BD4" w:rsidRPr="00CC2F4C">
        <w:rPr>
          <w:rFonts w:cs="Tahoma"/>
        </w:rPr>
        <w:t>частниками;</w:t>
      </w:r>
    </w:p>
    <w:p w:rsidR="00696BD4" w:rsidRPr="007F73E6" w:rsidRDefault="001A2666" w:rsidP="00696BD4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696BD4" w:rsidRPr="00CC2F4C">
        <w:rPr>
          <w:rFonts w:cs="Tahoma"/>
        </w:rPr>
        <w:t xml:space="preserve">     – </w:t>
      </w:r>
      <w:r w:rsidR="00696BD4" w:rsidRPr="007F73E6">
        <w:rPr>
          <w:rFonts w:cs="Tahoma"/>
        </w:rPr>
        <w:t xml:space="preserve">дисконтированная стоимость заявки </w:t>
      </w:r>
      <w:r w:rsidR="00696BD4" w:rsidRPr="007F73E6">
        <w:rPr>
          <w:rFonts w:cs="Tahoma"/>
          <w:lang w:val="en-US"/>
        </w:rPr>
        <w:t>i</w:t>
      </w:r>
      <w:r w:rsidR="00696BD4" w:rsidRPr="007F73E6">
        <w:rPr>
          <w:rFonts w:cs="Tahoma"/>
        </w:rPr>
        <w:t>-го участника;</w:t>
      </w:r>
    </w:p>
    <w:p w:rsidR="00696BD4" w:rsidRPr="007F73E6" w:rsidRDefault="00696BD4" w:rsidP="00696BD4">
      <w:pPr>
        <w:rPr>
          <w:rFonts w:cs="Tahoma"/>
        </w:rPr>
      </w:pPr>
      <w:r w:rsidRPr="007F73E6">
        <w:rPr>
          <w:rFonts w:cs="Tahoma"/>
          <w:lang w:val="en-US"/>
        </w:rPr>
        <w:t>i</w:t>
      </w:r>
      <w:r w:rsidRPr="007F73E6">
        <w:rPr>
          <w:rFonts w:cs="Tahoma"/>
        </w:rPr>
        <w:t xml:space="preserve"> – </w:t>
      </w:r>
      <w:proofErr w:type="gramStart"/>
      <w:r w:rsidRPr="007F73E6">
        <w:rPr>
          <w:rFonts w:cs="Tahoma"/>
        </w:rPr>
        <w:t>участник</w:t>
      </w:r>
      <w:proofErr w:type="gramEnd"/>
      <w:r w:rsidRPr="007F73E6">
        <w:rPr>
          <w:rFonts w:cs="Tahoma"/>
        </w:rPr>
        <w:t xml:space="preserve"> закупки.</w:t>
      </w:r>
    </w:p>
    <w:p w:rsidR="00696BD4" w:rsidRPr="00CC2F4C" w:rsidRDefault="00696BD4" w:rsidP="00696BD4">
      <w:pPr>
        <w:rPr>
          <w:rFonts w:cs="Tahoma"/>
        </w:rPr>
      </w:pPr>
    </w:p>
    <w:p w:rsidR="00696BD4" w:rsidRPr="00CC2F4C" w:rsidRDefault="00696BD4" w:rsidP="00696BD4">
      <w:pPr>
        <w:ind w:firstLine="708"/>
        <w:rPr>
          <w:rFonts w:cs="Tahoma"/>
        </w:rPr>
      </w:pPr>
      <w:r w:rsidRPr="00CC2F4C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696BD4" w:rsidRPr="00CC2F4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BD236E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CC2F4C">
        <w:rPr>
          <w:rFonts w:ascii="Tahoma" w:hAnsi="Tahoma" w:cs="Tahoma"/>
          <w:sz w:val="20"/>
        </w:rPr>
        <w:t xml:space="preserve">Значения баллов для Подкритерия </w:t>
      </w:r>
      <w:r>
        <w:rPr>
          <w:rFonts w:ascii="Tahoma" w:hAnsi="Tahoma" w:cs="Tahoma"/>
          <w:sz w:val="20"/>
        </w:rPr>
        <w:t>«</w:t>
      </w:r>
      <w:r w:rsidRPr="00CC2F4C">
        <w:rPr>
          <w:rFonts w:ascii="Tahoma" w:hAnsi="Tahoma" w:cs="Tahoma"/>
          <w:sz w:val="20"/>
        </w:rPr>
        <w:t>Условия оплаты</w:t>
      </w:r>
      <w:r>
        <w:rPr>
          <w:rFonts w:ascii="Tahoma" w:hAnsi="Tahoma" w:cs="Tahoma"/>
          <w:sz w:val="20"/>
        </w:rPr>
        <w:t>»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 w:rsidRPr="00CC2F4C">
        <w:rPr>
          <w:rFonts w:ascii="Tahoma" w:hAnsi="Tahoma" w:cs="Tahoma"/>
          <w:sz w:val="20"/>
        </w:rPr>
        <w:t xml:space="preserve"> по </w:t>
      </w:r>
      <w:proofErr w:type="spellStart"/>
      <w:r w:rsidRPr="00CC2F4C">
        <w:rPr>
          <w:rFonts w:ascii="Tahoma" w:hAnsi="Tahoma" w:cs="Tahoma"/>
          <w:sz w:val="20"/>
        </w:rPr>
        <w:t>четырехбал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ьной</w:t>
      </w:r>
      <w:proofErr w:type="spellEnd"/>
      <w:r w:rsidRPr="00CC2F4C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 xml:space="preserve">Участника </w:t>
      </w:r>
      <w:r w:rsidRPr="00CC2F4C">
        <w:rPr>
          <w:rFonts w:ascii="Tahoma" w:hAnsi="Tahoma" w:cs="Tahoma"/>
          <w:sz w:val="20"/>
        </w:rPr>
        <w:t xml:space="preserve">по данному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 w:rsidRPr="00CC2F4C">
        <w:rPr>
          <w:rFonts w:ascii="Tahoma" w:hAnsi="Tahoma" w:cs="Tahoma"/>
          <w:sz w:val="20"/>
        </w:rPr>
        <w:t>одкритерию</w:t>
      </w:r>
      <w:proofErr w:type="spellEnd"/>
      <w:r w:rsidRPr="00CC2F4C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CC2F4C">
        <w:rPr>
          <w:rFonts w:ascii="Tahoma" w:hAnsi="Tahoma" w:cs="Tahoma"/>
          <w:sz w:val="20"/>
        </w:rPr>
        <w:t>акупочной</w:t>
      </w:r>
      <w:proofErr w:type="spellEnd"/>
      <w:r w:rsidRPr="00CC2F4C">
        <w:rPr>
          <w:rFonts w:ascii="Tahoma" w:hAnsi="Tahoma" w:cs="Tahoma"/>
          <w:sz w:val="20"/>
        </w:rPr>
        <w:t xml:space="preserve"> документации в соответствии со следующей шкалой:</w:t>
      </w:r>
    </w:p>
    <w:p w:rsidR="002F33CD" w:rsidRPr="00BD236E" w:rsidRDefault="002F33CD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</w:p>
    <w:p w:rsidR="00696BD4" w:rsidRPr="005E7306" w:rsidRDefault="00696BD4" w:rsidP="00696BD4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Условия оплаты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696BD4" w:rsidRPr="005E7306" w:rsidTr="003741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696BD4" w:rsidRPr="005E7306" w:rsidTr="003741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color w:val="000000"/>
                <w:lang w:eastAsia="en-US"/>
              </w:rPr>
              <w:t>Участником предложено авансирование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Оценка не применяется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не соответствует проекту договора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696BD4" w:rsidRPr="005E7306" w:rsidTr="00374100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lastRenderedPageBreak/>
              <w:t>Отсрочка оплаты соответствует проекту договора либо предложена на более длительный срок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696BD4" w:rsidRPr="005E7306" w:rsidRDefault="00696BD4" w:rsidP="00696BD4">
      <w:pPr>
        <w:rPr>
          <w:rFonts w:eastAsia="Calibri" w:cs="Tahoma"/>
          <w:lang w:eastAsia="en-US"/>
        </w:rPr>
      </w:pP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FD4AF6">
        <w:rPr>
          <w:rFonts w:ascii="Tahoma" w:hAnsi="Tahoma" w:cs="Tahoma"/>
          <w:sz w:val="20"/>
        </w:rPr>
        <w:t xml:space="preserve">Значения баллов для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FD4AF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ев</w:t>
      </w:r>
      <w:proofErr w:type="spellEnd"/>
      <w:r>
        <w:rPr>
          <w:rFonts w:ascii="Tahoma" w:hAnsi="Tahoma" w:cs="Tahoma"/>
          <w:sz w:val="20"/>
        </w:rPr>
        <w:t xml:space="preserve"> «Штрафы и пени»</w:t>
      </w:r>
      <w:r>
        <w:rPr>
          <w:rFonts w:ascii="Tahoma" w:hAnsi="Tahoma" w:cs="Tahoma"/>
          <w:sz w:val="20"/>
          <w:lang w:val="ru-RU"/>
        </w:rPr>
        <w:t xml:space="preserve">, </w:t>
      </w:r>
      <w:r>
        <w:rPr>
          <w:rFonts w:ascii="Tahoma" w:hAnsi="Tahoma" w:cs="Tahoma"/>
          <w:sz w:val="20"/>
        </w:rPr>
        <w:t>«Форма расчета»</w:t>
      </w:r>
      <w:r>
        <w:rPr>
          <w:rFonts w:ascii="Tahoma" w:hAnsi="Tahoma" w:cs="Tahoma"/>
          <w:sz w:val="20"/>
          <w:lang w:val="ru-RU"/>
        </w:rPr>
        <w:t xml:space="preserve"> и «</w:t>
      </w:r>
      <w:r w:rsidRPr="00C93EBC">
        <w:rPr>
          <w:rFonts w:ascii="Tahoma" w:hAnsi="Tahoma" w:cs="Tahoma"/>
          <w:sz w:val="20"/>
          <w:lang w:val="ru-RU"/>
        </w:rPr>
        <w:t>Удержанный платеж , банковская гарантия, залог</w:t>
      </w:r>
      <w:r>
        <w:rPr>
          <w:rFonts w:ascii="Tahoma" w:hAnsi="Tahoma" w:cs="Tahoma"/>
          <w:sz w:val="20"/>
          <w:lang w:val="ru-RU"/>
        </w:rPr>
        <w:t>»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>
        <w:rPr>
          <w:rFonts w:ascii="Tahoma" w:hAnsi="Tahoma" w:cs="Tahoma"/>
          <w:sz w:val="20"/>
        </w:rPr>
        <w:t xml:space="preserve"> по </w:t>
      </w:r>
      <w:proofErr w:type="spellStart"/>
      <w:r>
        <w:rPr>
          <w:rFonts w:ascii="Tahoma" w:hAnsi="Tahoma" w:cs="Tahoma"/>
          <w:sz w:val="20"/>
        </w:rPr>
        <w:t>четырехбальной</w:t>
      </w:r>
      <w:proofErr w:type="spellEnd"/>
      <w:r w:rsidRPr="00342306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 Участника</w:t>
      </w:r>
      <w:r w:rsidRPr="00342306">
        <w:rPr>
          <w:rFonts w:ascii="Tahoma" w:hAnsi="Tahoma" w:cs="Tahoma"/>
          <w:sz w:val="20"/>
        </w:rPr>
        <w:t xml:space="preserve"> по данн</w:t>
      </w:r>
      <w:r>
        <w:rPr>
          <w:rFonts w:ascii="Tahoma" w:hAnsi="Tahoma" w:cs="Tahoma"/>
          <w:sz w:val="20"/>
        </w:rPr>
        <w:t>ым</w:t>
      </w:r>
      <w:r w:rsidRPr="0034230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34230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ям</w:t>
      </w:r>
      <w:proofErr w:type="spellEnd"/>
      <w:r w:rsidRPr="00342306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342306">
        <w:rPr>
          <w:rFonts w:ascii="Tahoma" w:hAnsi="Tahoma" w:cs="Tahoma"/>
          <w:sz w:val="20"/>
        </w:rPr>
        <w:t>акупочной</w:t>
      </w:r>
      <w:proofErr w:type="spellEnd"/>
      <w:r w:rsidRPr="00342306">
        <w:rPr>
          <w:rFonts w:ascii="Tahoma" w:hAnsi="Tahoma" w:cs="Tahoma"/>
          <w:sz w:val="20"/>
        </w:rPr>
        <w:t xml:space="preserve"> документации</w:t>
      </w:r>
      <w:r>
        <w:rPr>
          <w:rFonts w:ascii="Tahoma" w:hAnsi="Tahoma" w:cs="Tahoma"/>
          <w:sz w:val="20"/>
        </w:rPr>
        <w:t>:</w:t>
      </w:r>
    </w:p>
    <w:p w:rsidR="00696BD4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5E7306" w:rsidRDefault="00696BD4" w:rsidP="00696BD4">
      <w:pPr>
        <w:jc w:val="center"/>
        <w:rPr>
          <w:rFonts w:eastAsia="Calibri" w:cs="Tahoma"/>
          <w:lang w:eastAsia="en-US"/>
        </w:rPr>
      </w:pPr>
      <w:r w:rsidRPr="00587215">
        <w:rPr>
          <w:rFonts w:cs="Tahoma"/>
          <w:b/>
          <w:color w:val="000000"/>
        </w:rPr>
        <w:t xml:space="preserve">Шкала по </w:t>
      </w:r>
      <w:r w:rsidRPr="007F73E6">
        <w:rPr>
          <w:rFonts w:cs="Tahoma"/>
          <w:b/>
          <w:color w:val="000000"/>
        </w:rPr>
        <w:t xml:space="preserve">оценочным подкритериям </w:t>
      </w:r>
      <w:r w:rsidRPr="007F73E6">
        <w:rPr>
          <w:rFonts w:cs="Tahoma"/>
          <w:b/>
        </w:rPr>
        <w:t>«Штрафы и пени», «Форма расчета» и «Удержанный платеж</w:t>
      </w:r>
      <w:proofErr w:type="gramStart"/>
      <w:r w:rsidRPr="007F73E6">
        <w:rPr>
          <w:rFonts w:cs="Tahoma"/>
          <w:b/>
        </w:rPr>
        <w:t xml:space="preserve"> ,</w:t>
      </w:r>
      <w:proofErr w:type="gramEnd"/>
      <w:r w:rsidRPr="007F73E6">
        <w:rPr>
          <w:rFonts w:cs="Tahoma"/>
          <w:b/>
        </w:rPr>
        <w:t xml:space="preserve"> банковская гарантия, залог»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696BD4" w:rsidRPr="005E7306" w:rsidTr="003741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696BD4" w:rsidRPr="005E7306" w:rsidTr="003741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Не предоставлена информация по данному подкритерию (невозможно провести оценку)/Не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Соответствует требованиям закупочной документации с незначительными/допустимыми отклонениями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Полностью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A90E3F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Превосходит требования закупочной документации (имеет приоритетные показатели по сравнению с требованиями закупочной документации)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696BD4" w:rsidRPr="005E7306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C93EBC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93EBC">
        <w:rPr>
          <w:rFonts w:ascii="Tahoma" w:hAnsi="Tahoma" w:cs="Tahoma"/>
          <w:sz w:val="20"/>
        </w:rPr>
        <w:t>По Критерию «Прочие контрактные условия предложения» оценка производится в соответствии со следующей шкалой:</w:t>
      </w:r>
    </w:p>
    <w:p w:rsidR="00696BD4" w:rsidRPr="005E7306" w:rsidRDefault="00696BD4" w:rsidP="00696BD4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696BD4" w:rsidRPr="005E7306" w:rsidRDefault="00696BD4" w:rsidP="00696BD4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Прочие контрактные условия предложения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696BD4" w:rsidRPr="005E7306" w:rsidTr="003741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96BD4" w:rsidRPr="005E7306" w:rsidRDefault="00696BD4" w:rsidP="003741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696BD4" w:rsidRPr="005E7306" w:rsidTr="003741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Высокая степень рисков: условия предложения создают угрозу устойчивости договорной конструкции (например, очевидно противоречат закону, что свидетельствует о недействительности договора; допускают возможность досрочного прекращения договорных отношений участником закупки в отсутствие гарантий адекватной компенсации  заказчику и т.п.).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Средняя степень рисков: условия предложения не создают угрозу устойчивости договорной конструкции, при этом </w:t>
            </w:r>
            <w:proofErr w:type="gramStart"/>
            <w:r w:rsidRPr="005E7306">
              <w:rPr>
                <w:rFonts w:cs="Tahoma"/>
              </w:rPr>
              <w:t>предусматривают</w:t>
            </w:r>
            <w:proofErr w:type="gramEnd"/>
            <w:r w:rsidRPr="005E7306">
              <w:rPr>
                <w:rFonts w:cs="Tahoma"/>
              </w:rPr>
              <w:t xml:space="preserve"> очевидно непропорциональное (непаритетное) и (или) крайне невыгодное с юридической точки зрения для заказчика распределение прав и обязанностей между сторонами договора </w:t>
            </w:r>
            <w:r w:rsidRPr="005E7306">
              <w:rPr>
                <w:rFonts w:cs="Tahoma"/>
              </w:rPr>
              <w:lastRenderedPageBreak/>
              <w:t>(например, подавляющее большинство условий, сформулированных на основании диспозитивных норм закона, сформировано в пользу участника закупки; предусмотрена повышенная ответственность заказчика и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lastRenderedPageBreak/>
              <w:t>2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lastRenderedPageBreak/>
              <w:t>Низкая степень рисков:  условия предложения не создают угрозу устойчивости договорной конструкции, при этом содержат невыгодные, но не критичные с юридической точки зрения для заказчика положения (например, содержат некомфортные условия о подсудности споров, о сроках уведомления заказчика об изменении условий договора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696BD4" w:rsidRPr="005E7306" w:rsidTr="003741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Риски отсутствуют: условия предложения не создают угрозу устойчивости договорной конструкции и не содержат невыгодных для заказчика положений. Договор соответствует типовой форме.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6BD4" w:rsidRPr="005E7306" w:rsidRDefault="00696BD4" w:rsidP="003741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C15938" w:rsidRPr="00696BD4" w:rsidRDefault="00C15938">
      <w:pPr>
        <w:rPr>
          <w:lang w:val="x-none"/>
        </w:rPr>
      </w:pPr>
    </w:p>
    <w:sectPr w:rsidR="00C15938" w:rsidRPr="00696B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9DD" w:rsidRDefault="000D79DD" w:rsidP="002B0444">
      <w:r>
        <w:separator/>
      </w:r>
    </w:p>
  </w:endnote>
  <w:endnote w:type="continuationSeparator" w:id="0">
    <w:p w:rsidR="000D79DD" w:rsidRDefault="000D79DD" w:rsidP="002B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9DD" w:rsidRDefault="000D79DD" w:rsidP="002B0444">
      <w:r>
        <w:separator/>
      </w:r>
    </w:p>
  </w:footnote>
  <w:footnote w:type="continuationSeparator" w:id="0">
    <w:p w:rsidR="000D79DD" w:rsidRDefault="000D79DD" w:rsidP="002B0444">
      <w:r>
        <w:continuationSeparator/>
      </w:r>
    </w:p>
  </w:footnote>
  <w:footnote w:id="1">
    <w:p w:rsidR="002B0444" w:rsidRPr="00DF4687" w:rsidRDefault="002B0444" w:rsidP="002B0444">
      <w:pPr>
        <w:pStyle w:val="a7"/>
        <w:rPr>
          <w:sz w:val="16"/>
          <w:szCs w:val="16"/>
        </w:rPr>
      </w:pPr>
      <w:r w:rsidRPr="00DF4687">
        <w:rPr>
          <w:rStyle w:val="a9"/>
          <w:sz w:val="16"/>
          <w:szCs w:val="16"/>
        </w:rPr>
        <w:footnoteRef/>
      </w:r>
      <w:r w:rsidRPr="00DF4687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Минимальные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параметры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критериев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должны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быть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определены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в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закупочной</w:t>
      </w:r>
      <w:r w:rsidRPr="000C7EC9">
        <w:rPr>
          <w:sz w:val="16"/>
          <w:szCs w:val="16"/>
        </w:rPr>
        <w:t xml:space="preserve"> </w:t>
      </w:r>
      <w:r w:rsidRPr="000C7EC9">
        <w:rPr>
          <w:rFonts w:hint="eastAsia"/>
          <w:sz w:val="16"/>
          <w:szCs w:val="16"/>
        </w:rPr>
        <w:t>документации</w:t>
      </w:r>
      <w:r w:rsidRPr="000C7EC9">
        <w:rPr>
          <w:sz w:val="16"/>
          <w:szCs w:val="16"/>
        </w:rPr>
        <w:t>.</w:t>
      </w:r>
      <w:r>
        <w:rPr>
          <w:sz w:val="16"/>
          <w:szCs w:val="16"/>
        </w:rPr>
        <w:t xml:space="preserve"> В экспертных заключениях пояснения экспертов, касающиеся соответствия заявок участников данным критериям приводятся обязательно, с обоснованием выставленных оценок.</w:t>
      </w:r>
    </w:p>
  </w:footnote>
  <w:footnote w:id="2">
    <w:p w:rsidR="002B0444" w:rsidRDefault="002B0444" w:rsidP="002B0444">
      <w:pPr>
        <w:pStyle w:val="a7"/>
        <w:jc w:val="both"/>
      </w:pPr>
      <w:r w:rsidRPr="005C17BE">
        <w:rPr>
          <w:rStyle w:val="a9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E7633F">
        <w:rPr>
          <w:sz w:val="16"/>
          <w:szCs w:val="16"/>
        </w:rPr>
        <w:t>Для каждого договора указываются индивидуальные требования к составу документов, т.е. полное наименование лицензии или наименование работы из свидетельства СРО в соответствии с приказом Министерства регионального развития от 30.12.2009 № 624 или наименование сертификата (например, аттестат аккредитации лаборатории).</w:t>
      </w:r>
      <w:r>
        <w:rPr>
          <w:sz w:val="16"/>
          <w:szCs w:val="16"/>
        </w:rPr>
        <w:t xml:space="preserve"> </w:t>
      </w:r>
    </w:p>
  </w:footnote>
  <w:footnote w:id="3">
    <w:p w:rsidR="002B0444" w:rsidRDefault="002B0444" w:rsidP="002B0444">
      <w:pPr>
        <w:pStyle w:val="a7"/>
        <w:jc w:val="both"/>
        <w:rPr>
          <w:rFonts w:cs="Tahoma"/>
          <w:sz w:val="16"/>
          <w:szCs w:val="16"/>
        </w:rPr>
      </w:pPr>
      <w:r w:rsidRPr="005C17BE">
        <w:rPr>
          <w:rStyle w:val="a9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E7633F">
        <w:rPr>
          <w:sz w:val="16"/>
          <w:szCs w:val="16"/>
        </w:rPr>
        <w:t xml:space="preserve">На момент издания настоящего приказа требования установлены </w:t>
      </w:r>
      <w:r w:rsidRPr="00E7633F">
        <w:rPr>
          <w:rFonts w:cs="Tahoma"/>
          <w:sz w:val="16"/>
          <w:szCs w:val="16"/>
        </w:rPr>
        <w:t>приказом ЗАО «КЭС»</w:t>
      </w:r>
      <w:r w:rsidRPr="00E7633F">
        <w:rPr>
          <w:sz w:val="16"/>
          <w:szCs w:val="16"/>
        </w:rPr>
        <w:t xml:space="preserve"> </w:t>
      </w:r>
      <w:r w:rsidRPr="00E7633F">
        <w:rPr>
          <w:rFonts w:cs="Tahoma"/>
          <w:sz w:val="16"/>
          <w:szCs w:val="16"/>
        </w:rPr>
        <w:t>от 26.03.2012 № 53</w:t>
      </w:r>
      <w:r>
        <w:rPr>
          <w:rFonts w:cs="Tahoma"/>
          <w:sz w:val="16"/>
          <w:szCs w:val="16"/>
        </w:rPr>
        <w:t>.</w:t>
      </w:r>
    </w:p>
    <w:p w:rsidR="002B0444" w:rsidRDefault="002B0444" w:rsidP="002B0444">
      <w:pPr>
        <w:pStyle w:val="a7"/>
        <w:rPr>
          <w:sz w:val="16"/>
          <w:szCs w:val="16"/>
        </w:rPr>
      </w:pPr>
      <w:r w:rsidRPr="00785607">
        <w:rPr>
          <w:sz w:val="16"/>
          <w:szCs w:val="16"/>
          <w:vertAlign w:val="superscript"/>
        </w:rPr>
        <w:t>4.1</w:t>
      </w:r>
      <w:r w:rsidRPr="00D03907">
        <w:rPr>
          <w:sz w:val="16"/>
          <w:szCs w:val="16"/>
        </w:rPr>
        <w:t>Оценка по данному критерию производится в случае наличия в закупочной документации требования</w:t>
      </w:r>
      <w:r>
        <w:rPr>
          <w:sz w:val="16"/>
          <w:szCs w:val="16"/>
        </w:rPr>
        <w:t xml:space="preserve"> о предоставлении Декларации  </w:t>
      </w:r>
      <w:r w:rsidRPr="001F496C">
        <w:rPr>
          <w:sz w:val="16"/>
          <w:szCs w:val="16"/>
        </w:rPr>
        <w:t xml:space="preserve">о соответствии статусу субъекта малого и среднего предпринимательства </w:t>
      </w:r>
      <w:r>
        <w:rPr>
          <w:sz w:val="16"/>
          <w:szCs w:val="16"/>
        </w:rPr>
        <w:t>при проведении закупочных процедур</w:t>
      </w:r>
      <w:proofErr w:type="gramStart"/>
      <w:r>
        <w:rPr>
          <w:sz w:val="16"/>
          <w:szCs w:val="16"/>
        </w:rPr>
        <w:t xml:space="preserve"> :</w:t>
      </w:r>
      <w:proofErr w:type="gramEnd"/>
    </w:p>
    <w:p w:rsidR="002B0444" w:rsidRPr="00113972" w:rsidRDefault="002B0444" w:rsidP="002B0444">
      <w:pPr>
        <w:pStyle w:val="a7"/>
        <w:rPr>
          <w:sz w:val="16"/>
          <w:szCs w:val="16"/>
        </w:rPr>
      </w:pPr>
      <w:r>
        <w:rPr>
          <w:sz w:val="16"/>
          <w:szCs w:val="16"/>
        </w:rPr>
        <w:t>-</w:t>
      </w:r>
      <w:r w:rsidRPr="00113972">
        <w:rPr>
          <w:sz w:val="16"/>
          <w:szCs w:val="16"/>
        </w:rPr>
        <w:t xml:space="preserve"> </w:t>
      </w:r>
      <w:proofErr w:type="gramStart"/>
      <w:r w:rsidRPr="00113972">
        <w:rPr>
          <w:sz w:val="16"/>
          <w:szCs w:val="16"/>
        </w:rPr>
        <w:t>участниками</w:t>
      </w:r>
      <w:proofErr w:type="gramEnd"/>
      <w:r w:rsidRPr="00113972">
        <w:rPr>
          <w:sz w:val="16"/>
          <w:szCs w:val="16"/>
        </w:rPr>
        <w:t xml:space="preserve"> которых являются только субъекты малого и среднего предпринимательства;</w:t>
      </w:r>
    </w:p>
    <w:p w:rsidR="002B0444" w:rsidRPr="005C17BE" w:rsidRDefault="002B0444" w:rsidP="002B0444">
      <w:pPr>
        <w:pStyle w:val="a7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  <w:r w:rsidRPr="00113972">
        <w:rPr>
          <w:sz w:val="16"/>
          <w:szCs w:val="16"/>
        </w:rPr>
        <w:t xml:space="preserve"> в отношении </w:t>
      </w:r>
      <w:proofErr w:type="gramStart"/>
      <w:r w:rsidRPr="00113972">
        <w:rPr>
          <w:sz w:val="16"/>
          <w:szCs w:val="16"/>
        </w:rPr>
        <w:t>участников</w:t>
      </w:r>
      <w:proofErr w:type="gramEnd"/>
      <w:r w:rsidRPr="00113972">
        <w:rPr>
          <w:sz w:val="16"/>
          <w:szCs w:val="16"/>
        </w:rPr>
        <w:t xml:space="preserve">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</w:t>
      </w:r>
      <w:r>
        <w:rPr>
          <w:sz w:val="16"/>
          <w:szCs w:val="16"/>
        </w:rPr>
        <w:t>.</w:t>
      </w:r>
    </w:p>
  </w:footnote>
  <w:footnote w:id="4">
    <w:p w:rsidR="002B0444" w:rsidRPr="005C17BE" w:rsidRDefault="002B0444" w:rsidP="002B0444">
      <w:pPr>
        <w:pStyle w:val="a7"/>
        <w:jc w:val="both"/>
        <w:rPr>
          <w:sz w:val="16"/>
          <w:szCs w:val="16"/>
        </w:rPr>
      </w:pPr>
      <w:r w:rsidRPr="005C17BE">
        <w:rPr>
          <w:rStyle w:val="a9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Оценка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по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данному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критерию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производится</w:t>
      </w:r>
      <w:r w:rsidRPr="005C17BE">
        <w:rPr>
          <w:sz w:val="16"/>
          <w:szCs w:val="16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при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наличии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в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закупочной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документации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соответствующих</w:t>
      </w:r>
      <w:r w:rsidRPr="005373FE">
        <w:rPr>
          <w:sz w:val="16"/>
          <w:szCs w:val="16"/>
          <w:shd w:val="clear" w:color="auto" w:fill="FFFFFF"/>
        </w:rPr>
        <w:t xml:space="preserve"> требований к </w:t>
      </w:r>
      <w:r w:rsidRPr="00F04308">
        <w:rPr>
          <w:sz w:val="16"/>
          <w:szCs w:val="16"/>
        </w:rPr>
        <w:t>коллективн</w:t>
      </w:r>
      <w:r>
        <w:rPr>
          <w:sz w:val="16"/>
          <w:szCs w:val="16"/>
        </w:rPr>
        <w:t>ым</w:t>
      </w:r>
      <w:r w:rsidRPr="00F04308">
        <w:rPr>
          <w:sz w:val="16"/>
          <w:szCs w:val="16"/>
        </w:rPr>
        <w:t xml:space="preserve"> участника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/ генеральны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исполнител</w:t>
      </w:r>
      <w:r>
        <w:rPr>
          <w:sz w:val="16"/>
          <w:szCs w:val="16"/>
        </w:rPr>
        <w:t>ям</w:t>
      </w:r>
      <w:r w:rsidRPr="00F04308">
        <w:rPr>
          <w:sz w:val="16"/>
          <w:szCs w:val="16"/>
        </w:rPr>
        <w:t xml:space="preserve"> (подрядчик</w:t>
      </w:r>
      <w:r>
        <w:rPr>
          <w:sz w:val="16"/>
          <w:szCs w:val="16"/>
        </w:rPr>
        <w:t>ам</w:t>
      </w:r>
      <w:r w:rsidRPr="00F04308">
        <w:rPr>
          <w:sz w:val="16"/>
          <w:szCs w:val="16"/>
        </w:rPr>
        <w:t>)</w:t>
      </w:r>
      <w:r w:rsidRPr="005373FE">
        <w:rPr>
          <w:sz w:val="16"/>
          <w:szCs w:val="16"/>
          <w:shd w:val="clear" w:color="auto" w:fill="FFFFFF"/>
        </w:rPr>
        <w:t xml:space="preserve">. </w:t>
      </w:r>
    </w:p>
  </w:footnote>
  <w:footnote w:id="5">
    <w:p w:rsidR="002B0444" w:rsidRDefault="002B0444" w:rsidP="002B0444">
      <w:pPr>
        <w:pStyle w:val="a7"/>
        <w:jc w:val="both"/>
        <w:rPr>
          <w:sz w:val="16"/>
          <w:szCs w:val="16"/>
        </w:rPr>
      </w:pPr>
      <w:r w:rsidRPr="005C17BE">
        <w:rPr>
          <w:rStyle w:val="a9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E7633F">
        <w:rPr>
          <w:sz w:val="16"/>
          <w:szCs w:val="16"/>
        </w:rPr>
        <w:t xml:space="preserve">В том числе наличие сертификатов соответствия на продукцию, разрешений </w:t>
      </w:r>
      <w:proofErr w:type="spellStart"/>
      <w:r w:rsidRPr="00E7633F">
        <w:rPr>
          <w:sz w:val="16"/>
          <w:szCs w:val="16"/>
        </w:rPr>
        <w:t>Ростехнадзора</w:t>
      </w:r>
      <w:proofErr w:type="spellEnd"/>
      <w:r w:rsidRPr="00E7633F">
        <w:rPr>
          <w:sz w:val="16"/>
          <w:szCs w:val="16"/>
        </w:rPr>
        <w:t xml:space="preserve"> на применение, санитарно-эпидемиологического заключени</w:t>
      </w:r>
      <w:r>
        <w:rPr>
          <w:sz w:val="16"/>
          <w:szCs w:val="16"/>
        </w:rPr>
        <w:t>я</w:t>
      </w:r>
      <w:r w:rsidRPr="00E7633F">
        <w:rPr>
          <w:sz w:val="16"/>
          <w:szCs w:val="16"/>
        </w:rPr>
        <w:t xml:space="preserve">  или </w:t>
      </w:r>
      <w:r>
        <w:rPr>
          <w:sz w:val="16"/>
          <w:szCs w:val="16"/>
        </w:rPr>
        <w:t>д</w:t>
      </w:r>
      <w:r w:rsidRPr="00E7633F">
        <w:rPr>
          <w:sz w:val="16"/>
          <w:szCs w:val="16"/>
        </w:rPr>
        <w:t xml:space="preserve">екларации о соответствии и т.п. </w:t>
      </w:r>
      <w:r>
        <w:rPr>
          <w:sz w:val="16"/>
          <w:szCs w:val="16"/>
        </w:rPr>
        <w:t>(</w:t>
      </w:r>
      <w:r w:rsidRPr="00E7633F">
        <w:rPr>
          <w:sz w:val="16"/>
          <w:szCs w:val="16"/>
        </w:rPr>
        <w:t>в зависимости от вида продукции</w:t>
      </w:r>
      <w:r>
        <w:rPr>
          <w:sz w:val="16"/>
          <w:szCs w:val="16"/>
        </w:rPr>
        <w:t>)</w:t>
      </w:r>
      <w:r w:rsidRPr="00E7633F">
        <w:rPr>
          <w:sz w:val="16"/>
          <w:szCs w:val="16"/>
        </w:rPr>
        <w:t>.</w:t>
      </w:r>
    </w:p>
    <w:p w:rsidR="002B0444" w:rsidRPr="005C17BE" w:rsidRDefault="002B0444" w:rsidP="002B0444">
      <w:pPr>
        <w:pStyle w:val="a7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5</w:t>
      </w:r>
      <w:r w:rsidRPr="00345E77">
        <w:rPr>
          <w:sz w:val="16"/>
          <w:szCs w:val="16"/>
          <w:vertAlign w:val="superscript"/>
        </w:rPr>
        <w:t>.</w:t>
      </w:r>
      <w:r>
        <w:rPr>
          <w:sz w:val="16"/>
          <w:szCs w:val="16"/>
          <w:vertAlign w:val="superscript"/>
        </w:rPr>
        <w:t>1</w:t>
      </w:r>
      <w:r w:rsidRPr="00345E77">
        <w:rPr>
          <w:sz w:val="16"/>
          <w:szCs w:val="16"/>
        </w:rPr>
        <w:t xml:space="preserve"> </w:t>
      </w:r>
      <w:r w:rsidRPr="00D03907">
        <w:rPr>
          <w:sz w:val="16"/>
          <w:szCs w:val="16"/>
        </w:rPr>
        <w:t>Оценка по данному критерию производится в случае наличия в закупочной документации требования</w:t>
      </w:r>
      <w:r>
        <w:rPr>
          <w:sz w:val="16"/>
          <w:szCs w:val="16"/>
        </w:rPr>
        <w:t xml:space="preserve"> о предоставлении </w:t>
      </w:r>
      <w:r w:rsidRPr="002C5E63">
        <w:rPr>
          <w:sz w:val="16"/>
          <w:szCs w:val="16"/>
        </w:rPr>
        <w:t>плана привлечения субподрядчиков (соисполнителей) из числа субъектов малого и среднего предпринимательства</w:t>
      </w:r>
      <w:r>
        <w:rPr>
          <w:sz w:val="16"/>
          <w:szCs w:val="16"/>
        </w:rPr>
        <w:t>.</w:t>
      </w:r>
    </w:p>
  </w:footnote>
  <w:footnote w:id="6">
    <w:p w:rsidR="002B0444" w:rsidRDefault="002B0444" w:rsidP="002B0444">
      <w:pPr>
        <w:pStyle w:val="a7"/>
      </w:pPr>
      <w:r>
        <w:rPr>
          <w:rStyle w:val="a9"/>
        </w:rPr>
        <w:footnoteRef/>
      </w:r>
      <w:r>
        <w:t xml:space="preserve"> </w:t>
      </w:r>
      <w:r w:rsidRPr="00D36B08">
        <w:rPr>
          <w:sz w:val="16"/>
          <w:szCs w:val="16"/>
        </w:rPr>
        <w:t xml:space="preserve">Не </w:t>
      </w:r>
      <w:r>
        <w:rPr>
          <w:sz w:val="16"/>
          <w:szCs w:val="16"/>
        </w:rPr>
        <w:t>допускается</w:t>
      </w:r>
      <w:r w:rsidRPr="00D36B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применение </w:t>
      </w:r>
      <w:r w:rsidRPr="00D36B08">
        <w:rPr>
          <w:sz w:val="16"/>
          <w:szCs w:val="16"/>
        </w:rPr>
        <w:t>подкритериев</w:t>
      </w:r>
      <w:r>
        <w:rPr>
          <w:sz w:val="16"/>
          <w:szCs w:val="16"/>
        </w:rPr>
        <w:t>. Рассчитывается в соответствии с утвержденной методикой.</w:t>
      </w:r>
    </w:p>
  </w:footnote>
  <w:footnote w:id="7">
    <w:p w:rsidR="002B0444" w:rsidRDefault="002B0444" w:rsidP="002B0444">
      <w:pPr>
        <w:pStyle w:val="a7"/>
      </w:pPr>
      <w:r>
        <w:rPr>
          <w:rStyle w:val="a9"/>
        </w:rPr>
        <w:footnoteRef/>
      </w:r>
      <w:r>
        <w:t xml:space="preserve"> </w:t>
      </w:r>
      <w:r w:rsidRPr="007D1BCC">
        <w:rPr>
          <w:sz w:val="16"/>
          <w:szCs w:val="16"/>
        </w:rPr>
        <w:t>При отсутствии в проекте договора каких-либо из перечисленных в данном подкритерии условий</w:t>
      </w:r>
      <w:r>
        <w:rPr>
          <w:sz w:val="16"/>
          <w:szCs w:val="16"/>
        </w:rPr>
        <w:t xml:space="preserve"> их</w:t>
      </w:r>
      <w:r w:rsidRPr="007D1BCC">
        <w:rPr>
          <w:sz w:val="16"/>
          <w:szCs w:val="16"/>
        </w:rPr>
        <w:t xml:space="preserve"> вес перераспределяется в пользу подкритерия </w:t>
      </w:r>
      <w:r>
        <w:rPr>
          <w:sz w:val="16"/>
          <w:szCs w:val="16"/>
        </w:rPr>
        <w:t>«</w:t>
      </w:r>
      <w:r w:rsidRPr="007C19F0">
        <w:rPr>
          <w:sz w:val="16"/>
          <w:szCs w:val="16"/>
        </w:rPr>
        <w:t>Условия оплаты</w:t>
      </w:r>
      <w:r>
        <w:rPr>
          <w:sz w:val="16"/>
          <w:szCs w:val="16"/>
        </w:rPr>
        <w:t>.</w:t>
      </w:r>
    </w:p>
  </w:footnote>
  <w:footnote w:id="8">
    <w:p w:rsidR="002B0444" w:rsidRDefault="002B0444" w:rsidP="002B0444">
      <w:pPr>
        <w:pStyle w:val="a7"/>
      </w:pPr>
      <w:r>
        <w:rPr>
          <w:rStyle w:val="a9"/>
        </w:rPr>
        <w:footnoteRef/>
      </w:r>
      <w:r>
        <w:t xml:space="preserve"> </w:t>
      </w:r>
      <w:r w:rsidRPr="009F59A5">
        <w:rPr>
          <w:sz w:val="16"/>
          <w:szCs w:val="16"/>
        </w:rPr>
        <w:t>Оценивается как форма обеспечения обязательств</w:t>
      </w:r>
      <w:r>
        <w:rPr>
          <w:sz w:val="16"/>
          <w:szCs w:val="16"/>
        </w:rPr>
        <w:t xml:space="preserve"> поставщика.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46D" w:rsidRDefault="0035746D">
    <w:pPr>
      <w:pStyle w:val="ab"/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477158" wp14:editId="0FD41BFB">
              <wp:simplePos x="0" y="0"/>
              <wp:positionH relativeFrom="column">
                <wp:posOffset>4555351</wp:posOffset>
              </wp:positionH>
              <wp:positionV relativeFrom="paragraph">
                <wp:posOffset>-389945</wp:posOffset>
              </wp:positionV>
              <wp:extent cx="1579659" cy="468630"/>
              <wp:effectExtent l="0" t="0" r="1905" b="762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9659" cy="468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46D" w:rsidRPr="00FE7122" w:rsidRDefault="00BD236E" w:rsidP="0035746D">
                          <w:pPr>
                            <w:pStyle w:val="aa"/>
                            <w:jc w:val="right"/>
                            <w:rPr>
                              <w:rFonts w:ascii="Tahoma" w:hAnsi="Tahoma" w:cs="Tahoma"/>
                              <w:color w:val="7F7F7F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7F7F7F"/>
                              <w:sz w:val="20"/>
                              <w:szCs w:val="20"/>
                            </w:rPr>
                            <w:t>ЗАО «</w:t>
                          </w:r>
                          <w:proofErr w:type="spellStart"/>
                          <w:r>
                            <w:rPr>
                              <w:rFonts w:ascii="Tahoma" w:hAnsi="Tahoma" w:cs="Tahoma"/>
                              <w:color w:val="7F7F7F"/>
                              <w:sz w:val="20"/>
                              <w:szCs w:val="20"/>
                            </w:rPr>
                            <w:t>ВяткаТорф</w:t>
                          </w:r>
                          <w:proofErr w:type="spellEnd"/>
                          <w:r>
                            <w:rPr>
                              <w:rFonts w:ascii="Tahoma" w:hAnsi="Tahoma" w:cs="Tahoma"/>
                              <w:color w:val="7F7F7F"/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35746D" w:rsidRPr="00B562EC" w:rsidRDefault="0035746D" w:rsidP="0035746D">
                          <w:pPr>
                            <w:pStyle w:val="aa"/>
                            <w:jc w:val="right"/>
                            <w:rPr>
                              <w:rFonts w:ascii="Tahoma" w:hAnsi="Tahoma" w:cs="Tahoma"/>
                              <w:color w:val="7F7F7F"/>
                              <w:sz w:val="16"/>
                            </w:rPr>
                          </w:pPr>
                        </w:p>
                        <w:p w:rsidR="0035746D" w:rsidRDefault="0035746D" w:rsidP="0035746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358.7pt;margin-top:-30.7pt;width:124.4pt;height:3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" stroked="f">
              <v:textbox>
                <w:txbxContent>
                  <w:p w:rsidR="0035746D" w:rsidRPr="00FE7122" w:rsidRDefault="00BD236E" w:rsidP="0035746D">
                    <w:pPr>
                      <w:pStyle w:val="aa"/>
                      <w:jc w:val="right"/>
                      <w:rPr>
                        <w:rFonts w:ascii="Tahoma" w:hAnsi="Tahoma" w:cs="Tahoma"/>
                        <w:color w:val="7F7F7F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color w:val="7F7F7F"/>
                        <w:sz w:val="20"/>
                        <w:szCs w:val="20"/>
                      </w:rPr>
                      <w:t>ЗАО «</w:t>
                    </w:r>
                    <w:proofErr w:type="spellStart"/>
                    <w:r>
                      <w:rPr>
                        <w:rFonts w:ascii="Tahoma" w:hAnsi="Tahoma" w:cs="Tahoma"/>
                        <w:color w:val="7F7F7F"/>
                        <w:sz w:val="20"/>
                        <w:szCs w:val="20"/>
                      </w:rPr>
                      <w:t>ВяткаТорф</w:t>
                    </w:r>
                    <w:proofErr w:type="spellEnd"/>
                    <w:r>
                      <w:rPr>
                        <w:rFonts w:ascii="Tahoma" w:hAnsi="Tahoma" w:cs="Tahoma"/>
                        <w:color w:val="7F7F7F"/>
                        <w:sz w:val="20"/>
                        <w:szCs w:val="20"/>
                      </w:rPr>
                      <w:t>»</w:t>
                    </w:r>
                  </w:p>
                  <w:p w:rsidR="0035746D" w:rsidRPr="00B562EC" w:rsidRDefault="0035746D" w:rsidP="0035746D">
                    <w:pPr>
                      <w:pStyle w:val="aa"/>
                      <w:jc w:val="right"/>
                      <w:rPr>
                        <w:rFonts w:ascii="Tahoma" w:hAnsi="Tahoma" w:cs="Tahoma"/>
                        <w:color w:val="7F7F7F"/>
                        <w:sz w:val="16"/>
                      </w:rPr>
                    </w:pPr>
                  </w:p>
                  <w:p w:rsidR="0035746D" w:rsidRDefault="0035746D" w:rsidP="0035746D"/>
                </w:txbxContent>
              </v:textbox>
            </v:shape>
          </w:pict>
        </mc:Fallback>
      </mc:AlternateContent>
    </w:r>
    <w:r>
      <w:rPr>
        <w:i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0E733D" wp14:editId="2467E1A0">
              <wp:simplePos x="0" y="0"/>
              <wp:positionH relativeFrom="column">
                <wp:posOffset>-116039</wp:posOffset>
              </wp:positionH>
              <wp:positionV relativeFrom="paragraph">
                <wp:posOffset>-310432</wp:posOffset>
              </wp:positionV>
              <wp:extent cx="6251713" cy="460375"/>
              <wp:effectExtent l="0" t="0" r="15875" b="15875"/>
              <wp:wrapNone/>
              <wp:docPr id="2" name="Группа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251713" cy="460375"/>
                        <a:chOff x="0" y="66"/>
                        <a:chExt cx="6024245" cy="838134"/>
                      </a:xfrm>
                    </wpg:grpSpPr>
                    <wpg:grpSp>
                      <wpg:cNvPr id="3" name="Группа 3"/>
                      <wpg:cNvGrpSpPr/>
                      <wpg:grpSpPr>
                        <a:xfrm>
                          <a:off x="0" y="800100"/>
                          <a:ext cx="6024245" cy="38100"/>
                          <a:chOff x="0" y="0"/>
                          <a:chExt cx="6024245" cy="38100"/>
                        </a:xfrm>
                      </wpg:grpSpPr>
                      <wps:wsp>
                        <wps:cNvPr id="4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0" y="38100"/>
                            <a:ext cx="6024245" cy="0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F79646">
                                <a:lumMod val="75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02424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ysClr val="window" lastClr="FFFFFF">
                                <a:lumMod val="5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pic:pic xmlns:pic="http://schemas.openxmlformats.org/drawingml/2006/picture">
                      <pic:nvPicPr>
                        <pic:cNvPr id="6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36" y="66"/>
                          <a:ext cx="659186" cy="5992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" o:spid="_x0000_s1026" style="position:absolute;margin-left:-9.15pt;margin-top:-24.45pt;width:492.25pt;height:36.25pt;z-index:251659264" coordorigin="" coordsize="60242,8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">
              <v:group id="Группа 3" o:spid="_x0000_s1027" style="position:absolute;top:8001;width:60242;height:381" coordsize="60242,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top:381;width:602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PwmMEAAADaAAAADwAAAGRycy9kb3ducmV2LnhtbESPzWrDMBCE74G8g9hCb4ncUELiWg6l&#10;JaHHND/3xdrYxtbKkZRYffuqUMhxmJlvmGITTS/u5HxrWcHLPANBXFndcq3gdNzOViB8QNbYWyYF&#10;P+RhU04nBebajvxN90OoRYKwz1FBE8KQS+mrhgz6uR2Ik3exzmBI0tVSOxwT3PRykWVLabDltNDg&#10;QB8NVd3hZhRcdut95z+vcX+OUWu3Rh67pVLPT/H9DUSgGB7h//aXVvAKf1fSDZD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s/CYwQAAANoAAAAPAAAAAAAAAAAAAAAA&#10;AKECAABkcnMvZG93bnJldi54bWxQSwUGAAAAAAQABAD5AAAAjwMAAAAA&#10;" strokecolor="#e46c0a" strokeweight="1.75pt"/>
                <v:shape id="AutoShape 3" o:spid="_x0000_s1029" type="#_x0000_t32" style="position:absolute;width:602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iWFr8AAADaAAAADwAAAGRycy9kb3ducmV2LnhtbESP3WrCQBCF7wu+wzJCb4puGohIdBUN&#10;LfS26gMM2TEbzM6G7KjRp+8WCr08nJ+Ps96OvlM3GmIb2MD7PANFXAfbcmPgdPycLUFFQbbYBSYD&#10;D4qw3Uxe1ljacOdvuh2kUWmEY4kGnEhfah1rRx7jPPTEyTuHwaMkOTTaDnhP477TeZYttMeWE8Fh&#10;T5Wj+nK4+gR5Vns5FouPQnT7xnnl8gydMa/TcbcCJTTKf/iv/WUNFPB7Jd0Avf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GiWFr8AAADaAAAADwAAAAAAAAAAAAAAAACh&#10;AgAAZHJzL2Rvd25yZXYueG1sUEsFBgAAAAAEAAQA+QAAAI0DAAAAAA==&#10;" strokecolor="#7f7f7f" strokeweight="1pt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" o:spid="_x0000_s1030" type="#_x0000_t75" style="position:absolute;left:571;width:6592;height:59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jql/EAAAA2gAAAA8AAABkcnMvZG93bnJldi54bWxEj0FrwkAUhO9C/8PyCr2ZTT2oja4SCoLS&#10;emjsocfX3ecmJPs2ZLea/vuuIPQ4zMw3zHo7uk5caAiNZwXPWQ6CWHvTsFXwedpNlyBCRDbYeSYF&#10;vxRgu3mYrLEw/sofdKmiFQnCoUAFdYx9IWXQNTkMme+Jk3f2g8OY5GClGfCa4K6TszyfS4cNp4Ua&#10;e3qtSbfVj1PwXdpy1G+HXbvwy/j13hwPtn1R6ulxLFcgIo3xP3xv742COdyupBsgN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jql/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38"/>
    <w:rsid w:val="000D4929"/>
    <w:rsid w:val="000D79DD"/>
    <w:rsid w:val="001A2666"/>
    <w:rsid w:val="001F2BDA"/>
    <w:rsid w:val="002B0444"/>
    <w:rsid w:val="002F33CD"/>
    <w:rsid w:val="0035746D"/>
    <w:rsid w:val="003736FB"/>
    <w:rsid w:val="00696BD4"/>
    <w:rsid w:val="00766777"/>
    <w:rsid w:val="0099699E"/>
    <w:rsid w:val="00B60434"/>
    <w:rsid w:val="00BD236E"/>
    <w:rsid w:val="00BF19FD"/>
    <w:rsid w:val="00C1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044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uiPriority w:val="9"/>
    <w:qFormat/>
    <w:rsid w:val="00696BD4"/>
    <w:pPr>
      <w:keepNext/>
      <w:keepLines/>
      <w:pageBreakBefore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696BD4"/>
    <w:pPr>
      <w:keepNext/>
      <w:numPr>
        <w:ilvl w:val="1"/>
        <w:numId w:val="4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2B0444"/>
    <w:pPr>
      <w:spacing w:after="200"/>
      <w:ind w:left="720" w:firstLine="360"/>
      <w:contextualSpacing/>
      <w:jc w:val="both"/>
    </w:pPr>
    <w:rPr>
      <w:lang w:eastAsia="en-US"/>
    </w:rPr>
  </w:style>
  <w:style w:type="paragraph" w:styleId="a7">
    <w:name w:val="footnote text"/>
    <w:basedOn w:val="a2"/>
    <w:link w:val="a8"/>
    <w:rsid w:val="002B0444"/>
    <w:rPr>
      <w:szCs w:val="20"/>
    </w:rPr>
  </w:style>
  <w:style w:type="character" w:customStyle="1" w:styleId="a8">
    <w:name w:val="Текст сноски Знак"/>
    <w:basedOn w:val="a3"/>
    <w:link w:val="a7"/>
    <w:rsid w:val="002B0444"/>
    <w:rPr>
      <w:rFonts w:ascii="Tahoma" w:eastAsia="Times New Roman" w:hAnsi="Tahoma" w:cs="Times New Roman"/>
      <w:sz w:val="20"/>
      <w:szCs w:val="20"/>
      <w:lang w:eastAsia="ru-RU"/>
    </w:rPr>
  </w:style>
  <w:style w:type="character" w:styleId="a9">
    <w:name w:val="footnote reference"/>
    <w:rsid w:val="002B0444"/>
    <w:rPr>
      <w:vertAlign w:val="superscript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696BD4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696BD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696BD4"/>
    <w:pPr>
      <w:numPr>
        <w:ilvl w:val="2"/>
        <w:numId w:val="4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rsid w:val="00696BD4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696BD4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696BD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a">
    <w:name w:val="No Spacing"/>
    <w:uiPriority w:val="1"/>
    <w:qFormat/>
    <w:rsid w:val="00766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2"/>
    <w:link w:val="ac"/>
    <w:uiPriority w:val="99"/>
    <w:unhideWhenUsed/>
    <w:rsid w:val="003574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3"/>
    <w:link w:val="ab"/>
    <w:uiPriority w:val="99"/>
    <w:rsid w:val="0035746D"/>
    <w:rPr>
      <w:rFonts w:ascii="Tahoma" w:eastAsia="Times New Roman" w:hAnsi="Tahoma" w:cs="Times New Roman"/>
      <w:sz w:val="20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3574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3"/>
    <w:link w:val="ad"/>
    <w:uiPriority w:val="99"/>
    <w:rsid w:val="0035746D"/>
    <w:rPr>
      <w:rFonts w:ascii="Tahoma" w:eastAsia="Times New Roman" w:hAnsi="Tahoma" w:cs="Times New Roman"/>
      <w:sz w:val="20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2F33CD"/>
    <w:rPr>
      <w:rFonts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2F33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044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uiPriority w:val="9"/>
    <w:qFormat/>
    <w:rsid w:val="00696BD4"/>
    <w:pPr>
      <w:keepNext/>
      <w:keepLines/>
      <w:pageBreakBefore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696BD4"/>
    <w:pPr>
      <w:keepNext/>
      <w:numPr>
        <w:ilvl w:val="1"/>
        <w:numId w:val="4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2B0444"/>
    <w:pPr>
      <w:spacing w:after="200"/>
      <w:ind w:left="720" w:firstLine="360"/>
      <w:contextualSpacing/>
      <w:jc w:val="both"/>
    </w:pPr>
    <w:rPr>
      <w:lang w:eastAsia="en-US"/>
    </w:rPr>
  </w:style>
  <w:style w:type="paragraph" w:styleId="a7">
    <w:name w:val="footnote text"/>
    <w:basedOn w:val="a2"/>
    <w:link w:val="a8"/>
    <w:rsid w:val="002B0444"/>
    <w:rPr>
      <w:szCs w:val="20"/>
    </w:rPr>
  </w:style>
  <w:style w:type="character" w:customStyle="1" w:styleId="a8">
    <w:name w:val="Текст сноски Знак"/>
    <w:basedOn w:val="a3"/>
    <w:link w:val="a7"/>
    <w:rsid w:val="002B0444"/>
    <w:rPr>
      <w:rFonts w:ascii="Tahoma" w:eastAsia="Times New Roman" w:hAnsi="Tahoma" w:cs="Times New Roman"/>
      <w:sz w:val="20"/>
      <w:szCs w:val="20"/>
      <w:lang w:eastAsia="ru-RU"/>
    </w:rPr>
  </w:style>
  <w:style w:type="character" w:styleId="a9">
    <w:name w:val="footnote reference"/>
    <w:rsid w:val="002B0444"/>
    <w:rPr>
      <w:vertAlign w:val="superscript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696BD4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696BD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696BD4"/>
    <w:pPr>
      <w:numPr>
        <w:ilvl w:val="2"/>
        <w:numId w:val="4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rsid w:val="00696BD4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696BD4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696BD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a">
    <w:name w:val="No Spacing"/>
    <w:uiPriority w:val="1"/>
    <w:qFormat/>
    <w:rsid w:val="00766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2"/>
    <w:link w:val="ac"/>
    <w:uiPriority w:val="99"/>
    <w:unhideWhenUsed/>
    <w:rsid w:val="003574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3"/>
    <w:link w:val="ab"/>
    <w:uiPriority w:val="99"/>
    <w:rsid w:val="0035746D"/>
    <w:rPr>
      <w:rFonts w:ascii="Tahoma" w:eastAsia="Times New Roman" w:hAnsi="Tahoma" w:cs="Times New Roman"/>
      <w:sz w:val="20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3574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3"/>
    <w:link w:val="ad"/>
    <w:uiPriority w:val="99"/>
    <w:rsid w:val="0035746D"/>
    <w:rPr>
      <w:rFonts w:ascii="Tahoma" w:eastAsia="Times New Roman" w:hAnsi="Tahoma" w:cs="Times New Roman"/>
      <w:sz w:val="20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2F33CD"/>
    <w:rPr>
      <w:rFonts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2F33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"КЭС"</Company>
  <LinksUpToDate>false</LinksUpToDate>
  <CharactersWithSpaces>14533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Логиновских Полина Ивановна</dc:creator>
  <cp:lastModifiedBy>RePack by Diakov</cp:lastModifiedBy>
  <cp:revision>5</cp:revision>
  <dcterms:created xsi:type="dcterms:W3CDTF">2016-12-08T10:48:00Z</dcterms:created>
  <dcterms:modified xsi:type="dcterms:W3CDTF">2016-12-13T09:16:00Z</dcterms:modified>
</cp:coreProperties>
</file>